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4.0 -->
  <w:body>
    <w:p w:rsidR="00920B5F" w:rsidP="004F38AD" w14:paraId="2D35CB9E" w14:textId="77777777">
      <w:pPr>
        <w:pStyle w:val="BodyText"/>
        <w:jc w:val="both"/>
        <w:rPr>
          <w:rFonts w:ascii="Times New Roman"/>
          <w:sz w:val="20"/>
        </w:rPr>
      </w:pPr>
      <w:r>
        <w:rPr>
          <w:noProof/>
        </w:rPr>
        <w:drawing>
          <wp:inline distT="0" distB="0" distL="0" distR="0">
            <wp:extent cx="5719445" cy="415856"/>
            <wp:effectExtent l="0" t="0" r="0" b="3810"/>
            <wp:docPr id="19" name="Obrázek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260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1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B5F" w:rsidP="004F38AD" w14:paraId="03D12E31" w14:textId="77777777">
      <w:pPr>
        <w:pStyle w:val="BodyText"/>
        <w:jc w:val="both"/>
        <w:rPr>
          <w:rFonts w:ascii="Times New Roman"/>
          <w:sz w:val="20"/>
        </w:rPr>
      </w:pPr>
    </w:p>
    <w:p w:rsidR="00920B5F" w:rsidP="004F38AD" w14:paraId="0AE5AD59" w14:textId="77777777">
      <w:pPr>
        <w:pStyle w:val="BodyText"/>
        <w:jc w:val="both"/>
        <w:rPr>
          <w:rFonts w:ascii="Times New Roman"/>
          <w:sz w:val="20"/>
        </w:rPr>
      </w:pPr>
    </w:p>
    <w:p w:rsidR="00920B5F" w:rsidP="004F38AD" w14:paraId="2837F4DE" w14:textId="77777777">
      <w:pPr>
        <w:pStyle w:val="BodyText"/>
        <w:jc w:val="both"/>
        <w:rPr>
          <w:rFonts w:ascii="Times New Roman"/>
          <w:sz w:val="20"/>
        </w:rPr>
      </w:pPr>
    </w:p>
    <w:p w:rsidR="00920B5F" w:rsidP="004F38AD" w14:paraId="05B9B1B5" w14:textId="77777777">
      <w:pPr>
        <w:pStyle w:val="BodyText"/>
        <w:spacing w:before="8"/>
        <w:rPr>
          <w:rFonts w:ascii="Times New Roman"/>
          <w:sz w:val="25"/>
        </w:rPr>
      </w:pPr>
    </w:p>
    <w:p w:rsidR="00CF0333" w:rsidP="004F38AD" w14:paraId="3FE3240D" w14:textId="77777777">
      <w:pPr>
        <w:pStyle w:val="TITULEKVZVY"/>
        <w:tabs>
          <w:tab w:val="left" w:pos="0"/>
        </w:tabs>
        <w:spacing w:after="120"/>
        <w:rPr>
          <w:rFonts w:eastAsiaTheme="minorHAnsi" w:cstheme="minorBidi"/>
          <w:color w:val="4A442A" w:themeColor="background2" w:themeShade="40"/>
        </w:rPr>
      </w:pPr>
      <w:r w:rsidRPr="00727499">
        <w:rPr>
          <w:rFonts w:eastAsiaTheme="minorHAnsi" w:cstheme="minorBidi"/>
          <w:b/>
          <w:bCs/>
          <w:color w:val="4A442A" w:themeColor="background2" w:themeShade="40"/>
        </w:rPr>
        <w:t xml:space="preserve">Příloha č. </w:t>
      </w:r>
      <w:r w:rsidRPr="00727499" w:rsidR="003C3FD0">
        <w:rPr>
          <w:rFonts w:eastAsiaTheme="minorHAnsi" w:cstheme="minorBidi"/>
          <w:b/>
          <w:bCs/>
          <w:color w:val="4A442A" w:themeColor="background2" w:themeShade="40"/>
        </w:rPr>
        <w:t>9</w:t>
      </w:r>
      <w:r w:rsidRPr="00795722">
        <w:rPr>
          <w:rFonts w:eastAsiaTheme="minorHAnsi" w:cstheme="minorBidi"/>
          <w:color w:val="4A442A" w:themeColor="background2" w:themeShade="40"/>
        </w:rPr>
        <w:t xml:space="preserve"> </w:t>
      </w:r>
      <w:r w:rsidR="00795722">
        <w:rPr>
          <w:rFonts w:eastAsiaTheme="minorHAnsi" w:cstheme="minorBidi"/>
          <w:color w:val="4A442A" w:themeColor="background2" w:themeShade="40"/>
        </w:rPr>
        <w:t xml:space="preserve">Výzvy </w:t>
      </w:r>
      <w:r w:rsidRPr="00727499" w:rsidR="00DC38E9">
        <w:rPr>
          <w:rFonts w:eastAsiaTheme="minorHAnsi" w:cstheme="minorBidi"/>
          <w:color w:val="4A442A" w:themeColor="background2" w:themeShade="40"/>
        </w:rPr>
        <w:t>č. 1/2026 FN</w:t>
      </w:r>
      <w:r w:rsidRPr="00DC38E9" w:rsidR="00DC38E9">
        <w:rPr>
          <w:rFonts w:eastAsiaTheme="minorHAnsi" w:cstheme="minorBidi"/>
          <w:color w:val="4A442A" w:themeColor="background2" w:themeShade="40"/>
        </w:rPr>
        <w:t xml:space="preserve"> </w:t>
      </w:r>
    </w:p>
    <w:p w:rsidR="00191E17" w:rsidRPr="00795722" w:rsidP="004F38AD" w14:paraId="07EAE283" w14:textId="77777777">
      <w:pPr>
        <w:pStyle w:val="TITULEKVZVY"/>
        <w:tabs>
          <w:tab w:val="left" w:pos="0"/>
        </w:tabs>
        <w:spacing w:after="120"/>
        <w:rPr>
          <w:rFonts w:eastAsiaTheme="minorHAnsi" w:cstheme="minorBidi"/>
          <w:color w:val="4A442A" w:themeColor="background2" w:themeShade="40"/>
        </w:rPr>
      </w:pPr>
      <w:r w:rsidRPr="00795722">
        <w:rPr>
          <w:rFonts w:eastAsiaTheme="minorHAnsi" w:cstheme="minorBidi"/>
          <w:color w:val="4A442A" w:themeColor="background2" w:themeShade="40"/>
        </w:rPr>
        <w:t>Princip významného nepoškozování environmentálních cílů (DNSH)</w:t>
      </w:r>
    </w:p>
    <w:p w:rsidR="00920B5F" w:rsidP="004F38AD" w14:paraId="5900829F" w14:textId="77777777">
      <w:pPr>
        <w:pStyle w:val="BodyText"/>
        <w:jc w:val="both"/>
        <w:rPr>
          <w:b/>
          <w:sz w:val="20"/>
        </w:rPr>
      </w:pPr>
    </w:p>
    <w:p w:rsidR="00920B5F" w:rsidP="004F38AD" w14:paraId="039FEF19" w14:textId="77777777">
      <w:pPr>
        <w:pStyle w:val="BodyText"/>
        <w:jc w:val="both"/>
        <w:rPr>
          <w:b/>
          <w:sz w:val="20"/>
        </w:rPr>
      </w:pPr>
    </w:p>
    <w:p w:rsidR="00920B5F" w:rsidP="004F38AD" w14:paraId="29A443B0" w14:textId="77777777">
      <w:pPr>
        <w:pStyle w:val="BodyText"/>
        <w:spacing w:before="3"/>
        <w:jc w:val="both"/>
        <w:rPr>
          <w:b/>
          <w:sz w:val="29"/>
        </w:rPr>
      </w:pPr>
      <w:r>
        <w:rPr>
          <w:noProof/>
        </w:rPr>
        <w:drawing>
          <wp:inline distT="0" distB="0" distL="0" distR="0">
            <wp:extent cx="3469992" cy="2313452"/>
            <wp:effectExtent l="0" t="0" r="0" b="0"/>
            <wp:docPr id="151300673" name="Obrázek 1" descr="Obsah obrázku budova, kresba, dům, umě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0673" name="Obrázek 1" descr="Obsah obrázku budova, kresba, dům, umění&#10;&#10;Obsah generovaný pomocí AI může být nesprávný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9992" cy="231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E17" w:rsidP="004F38AD" w14:paraId="1DC573DB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191E17" w:rsidP="004F38AD" w14:paraId="3AFA65E3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191E17" w:rsidP="004F38AD" w14:paraId="33237A53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191E17" w:rsidP="004F38AD" w14:paraId="73189937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191E17" w:rsidP="004F38AD" w14:paraId="11BAD5BC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191E17" w:rsidP="004F38AD" w14:paraId="47A63F6C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191E17" w:rsidP="004F38AD" w14:paraId="4FDBFFEE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191E17" w:rsidP="004F38AD" w14:paraId="45F6244E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191E17" w:rsidP="004F38AD" w14:paraId="0EDB8BD2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727499" w:rsidP="004F38AD" w14:paraId="178FB5B5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727499" w:rsidP="004F38AD" w14:paraId="7F3A9FFD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727499" w:rsidP="004F38AD" w14:paraId="0718B8CE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727499" w:rsidP="004F38AD" w14:paraId="5A766F1B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727499" w:rsidP="004F38AD" w14:paraId="0C914876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727499" w:rsidP="004F38AD" w14:paraId="3C958EB0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727499" w:rsidP="004F38AD" w14:paraId="508FDC24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727499" w:rsidP="004F38AD" w14:paraId="39FD21A0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0311B4" w:rsidP="004F38AD" w14:paraId="3EFFDB14" w14:textId="77777777">
      <w:pPr>
        <w:spacing w:before="97"/>
        <w:ind w:left="113"/>
        <w:jc w:val="both"/>
        <w:rPr>
          <w:rFonts w:ascii="Trebuchet MS" w:hAnsi="Trebuchet MS"/>
          <w:b/>
          <w:color w:val="73767D"/>
          <w:spacing w:val="-11"/>
          <w:sz w:val="24"/>
        </w:rPr>
      </w:pPr>
    </w:p>
    <w:p w:rsidR="00920B5F" w:rsidP="004F38AD" w14:paraId="788473F1" w14:textId="77777777">
      <w:pPr>
        <w:spacing w:before="97"/>
        <w:ind w:left="113"/>
        <w:jc w:val="both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73767D"/>
          <w:spacing w:val="-11"/>
          <w:sz w:val="24"/>
        </w:rPr>
        <w:t>Únor</w:t>
      </w:r>
      <w:r w:rsidR="00B16863">
        <w:rPr>
          <w:rFonts w:ascii="Trebuchet MS" w:hAnsi="Trebuchet MS"/>
          <w:b/>
          <w:color w:val="73767D"/>
          <w:spacing w:val="-11"/>
          <w:sz w:val="24"/>
        </w:rPr>
        <w:t xml:space="preserve"> </w:t>
      </w:r>
      <w:r w:rsidR="009C75C2">
        <w:rPr>
          <w:rFonts w:ascii="Trebuchet MS" w:hAnsi="Trebuchet MS"/>
          <w:b/>
          <w:color w:val="73767D"/>
          <w:spacing w:val="-4"/>
          <w:sz w:val="24"/>
        </w:rPr>
        <w:t>202</w:t>
      </w:r>
      <w:r>
        <w:rPr>
          <w:rFonts w:ascii="Trebuchet MS" w:hAnsi="Trebuchet MS"/>
          <w:b/>
          <w:color w:val="73767D"/>
          <w:spacing w:val="-4"/>
          <w:sz w:val="24"/>
        </w:rPr>
        <w:t>6</w:t>
      </w:r>
    </w:p>
    <w:p w:rsidR="00920B5F" w:rsidP="004F38AD" w14:paraId="0C60D10D" w14:textId="77777777">
      <w:pPr>
        <w:jc w:val="both"/>
        <w:rPr>
          <w:rFonts w:ascii="Trebuchet MS" w:hAnsi="Trebuchet MS"/>
          <w:sz w:val="24"/>
        </w:rPr>
        <w:sectPr>
          <w:type w:val="continuous"/>
          <w:pgSz w:w="11910" w:h="16840"/>
          <w:pgMar w:top="620" w:right="960" w:bottom="280" w:left="1020" w:header="708" w:footer="708" w:gutter="0"/>
          <w:cols w:space="708"/>
        </w:sectPr>
      </w:pPr>
    </w:p>
    <w:p w:rsidR="00920B5F" w:rsidP="004F38AD" w14:paraId="794093CB" w14:textId="77777777">
      <w:pPr>
        <w:pStyle w:val="BodyText"/>
        <w:jc w:val="both"/>
        <w:rPr>
          <w:rFonts w:ascii="Trebuchet MS"/>
          <w:sz w:val="20"/>
        </w:rPr>
      </w:pPr>
      <w:r>
        <w:rPr>
          <w:noProof/>
        </w:rPr>
        <w:drawing>
          <wp:inline distT="0" distB="0" distL="0" distR="0">
            <wp:extent cx="5719445" cy="415856"/>
            <wp:effectExtent l="0" t="0" r="0" b="3810"/>
            <wp:docPr id="353743007" name="Obrázek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43007" name="Obrázek 260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1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B5F" w:rsidP="004F38AD" w14:paraId="3D72DC2A" w14:textId="77777777">
      <w:pPr>
        <w:pStyle w:val="BodyText"/>
        <w:jc w:val="both"/>
        <w:rPr>
          <w:rFonts w:ascii="Trebuchet MS"/>
          <w:sz w:val="20"/>
        </w:rPr>
      </w:pPr>
    </w:p>
    <w:p w:rsidR="009C75C2" w:rsidP="004F38AD" w14:paraId="7A751630" w14:textId="77777777">
      <w:pPr>
        <w:spacing w:before="240" w:after="240" w:line="360" w:lineRule="auto"/>
        <w:contextualSpacing/>
        <w:jc w:val="both"/>
        <w:rPr>
          <w:rFonts w:ascii="JohnSans Text Pro" w:hAnsi="JohnSans Text Pro"/>
        </w:rPr>
      </w:pPr>
    </w:p>
    <w:p w:rsidR="007C5AC0" w:rsidRPr="006E2E45" w:rsidP="006E2E45" w14:paraId="78E134F5" w14:textId="77777777">
      <w:pPr>
        <w:spacing w:after="240" w:line="276" w:lineRule="auto"/>
        <w:jc w:val="both"/>
        <w:rPr>
          <w:sz w:val="20"/>
          <w:szCs w:val="20"/>
        </w:rPr>
      </w:pPr>
      <w:r w:rsidRPr="006E2E45">
        <w:rPr>
          <w:rFonts w:eastAsiaTheme="minorEastAsia"/>
          <w:b/>
          <w:bCs/>
          <w:sz w:val="20"/>
          <w:szCs w:val="20"/>
        </w:rPr>
        <w:t>Princip „do no significant harm“ (dále jen DNSH)</w:t>
      </w:r>
      <w:r w:rsidRPr="006E2E45">
        <w:rPr>
          <w:rFonts w:eastAsiaTheme="minorEastAsia"/>
          <w:sz w:val="20"/>
          <w:szCs w:val="20"/>
        </w:rPr>
        <w:t xml:space="preserve"> vychází z článku č. 17 nařízení Evropského parlamentu a Rady (EU) 2020/852 ze dne 18. června 2020 o zřízení rámce pro usnadnění udržitelných investic a o změně nařízení (EU) 2019/2088 a v rámci Operačního programu Spravedlivá transformace se uplatňuje na základě nařízení č. 2021/1060 (obecné nařízení).</w:t>
      </w:r>
    </w:p>
    <w:p w:rsidR="007C5AC0" w:rsidRPr="006E2E45" w:rsidP="006E2E45" w14:paraId="72B98F37" w14:textId="77777777">
      <w:pPr>
        <w:spacing w:after="240" w:line="276" w:lineRule="auto"/>
        <w:jc w:val="both"/>
        <w:rPr>
          <w:rFonts w:eastAsiaTheme="minorEastAsia"/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>Princip DNSH je z části naplňován dodržováním legislativních nároků českých zákonů (např. zákon č. 114/1992 Sb., o ochraně přírody a krajiny, č. 334/1992 Sb., o ochraně zemědělského půdního fondu, č. 183/2006 Sb. o územním plánování a stavebním řádu) jež je žadatel povinen dodržovat. Avšak s ohledem na důsledné zachování principu DNSH u všech výše zmíněných cílů, jsou v programu průřezově</w:t>
      </w:r>
      <w:r w:rsidRPr="006E2E45">
        <w:rPr>
          <w:sz w:val="20"/>
          <w:szCs w:val="20"/>
        </w:rPr>
        <w:t xml:space="preserve"> </w:t>
      </w:r>
      <w:r w:rsidRPr="006E2E45">
        <w:rPr>
          <w:rFonts w:eastAsiaTheme="minorEastAsia"/>
          <w:sz w:val="20"/>
          <w:szCs w:val="20"/>
        </w:rPr>
        <w:t>nastaveny i další specifické podmínky a kritéria, přičemž v případě zjištění nesouladu</w:t>
      </w:r>
      <w:r>
        <w:rPr>
          <w:rFonts w:eastAsiaTheme="minorEastAsia"/>
          <w:sz w:val="20"/>
          <w:szCs w:val="20"/>
          <w:vertAlign w:val="superscript"/>
        </w:rPr>
        <w:footnoteReference w:id="2"/>
      </w:r>
      <w:r w:rsidRPr="006E2E45">
        <w:rPr>
          <w:rFonts w:eastAsiaTheme="minorEastAsia"/>
          <w:sz w:val="20"/>
          <w:szCs w:val="20"/>
        </w:rPr>
        <w:t xml:space="preserve"> realizace projektu s podmínkami DNSH bude přistoupeno k finanční korekci dle sankčních podmínek stanovených právním aktem.</w:t>
      </w:r>
    </w:p>
    <w:p w:rsidR="007C5AC0" w:rsidRPr="00FA0B8B" w:rsidP="00FA0B8B" w14:paraId="53B826B1" w14:textId="77777777">
      <w:pPr>
        <w:spacing w:after="240" w:line="276" w:lineRule="auto"/>
        <w:jc w:val="both"/>
        <w:rPr>
          <w:rFonts w:eastAsiaTheme="minorEastAsia"/>
          <w:b/>
          <w:bCs/>
          <w:sz w:val="20"/>
          <w:szCs w:val="20"/>
        </w:rPr>
      </w:pPr>
      <w:r w:rsidRPr="006E2E45">
        <w:rPr>
          <w:rFonts w:eastAsiaTheme="minorEastAsia"/>
          <w:b/>
          <w:bCs/>
          <w:sz w:val="20"/>
          <w:szCs w:val="20"/>
        </w:rPr>
        <w:t xml:space="preserve">Žadatel je </w:t>
      </w:r>
      <w:r w:rsidRPr="00FA0B8B">
        <w:rPr>
          <w:rFonts w:eastAsiaTheme="minorEastAsia"/>
          <w:b/>
          <w:bCs/>
          <w:sz w:val="20"/>
          <w:szCs w:val="20"/>
        </w:rPr>
        <w:t xml:space="preserve">povinen zavázat se k plnění vybraných podmínek DNSH </w:t>
      </w:r>
      <w:r w:rsidRPr="00FA0B8B">
        <w:rPr>
          <w:rFonts w:eastAsiaTheme="minorEastAsia"/>
          <w:sz w:val="20"/>
          <w:szCs w:val="20"/>
        </w:rPr>
        <w:t>prostřednictvím</w:t>
      </w:r>
      <w:r w:rsidRPr="00FA0B8B">
        <w:rPr>
          <w:rFonts w:eastAsiaTheme="minorEastAsia"/>
          <w:b/>
          <w:bCs/>
          <w:sz w:val="20"/>
          <w:szCs w:val="20"/>
        </w:rPr>
        <w:t>:</w:t>
      </w:r>
    </w:p>
    <w:p w:rsidR="007C5AC0" w:rsidRPr="00FA0B8B" w:rsidP="00FA0B8B" w14:paraId="5AB13BED" w14:textId="38487232">
      <w:pPr>
        <w:pStyle w:val="ListParagraph"/>
        <w:widowControl/>
        <w:numPr>
          <w:ilvl w:val="0"/>
          <w:numId w:val="13"/>
        </w:numPr>
        <w:autoSpaceDE/>
        <w:autoSpaceDN/>
        <w:spacing w:after="100" w:line="264" w:lineRule="auto"/>
        <w:ind w:left="720"/>
        <w:jc w:val="both"/>
        <w:rPr>
          <w:rFonts w:eastAsiaTheme="minorHAnsi" w:cstheme="minorBidi"/>
          <w:sz w:val="20"/>
          <w:lang w:eastAsia="cs-CZ"/>
        </w:rPr>
      </w:pPr>
      <w:r w:rsidRPr="00FA0B8B">
        <w:rPr>
          <w:rFonts w:eastAsiaTheme="minorHAnsi" w:cstheme="minorBidi"/>
          <w:sz w:val="20"/>
          <w:lang w:eastAsia="cs-CZ"/>
        </w:rPr>
        <w:t xml:space="preserve">čestného prohlášení </w:t>
      </w:r>
    </w:p>
    <w:p w:rsidR="007C5AC0" w:rsidP="00FA0B8B" w14:paraId="5C54D4F4" w14:textId="77777777">
      <w:pPr>
        <w:pStyle w:val="ListParagraph"/>
        <w:widowControl/>
        <w:numPr>
          <w:ilvl w:val="0"/>
          <w:numId w:val="13"/>
        </w:numPr>
        <w:autoSpaceDE/>
        <w:autoSpaceDN/>
        <w:spacing w:after="100" w:line="264" w:lineRule="auto"/>
        <w:ind w:left="720"/>
        <w:jc w:val="both"/>
        <w:rPr>
          <w:rFonts w:eastAsiaTheme="minorHAnsi" w:cstheme="minorBidi"/>
          <w:sz w:val="20"/>
          <w:lang w:eastAsia="cs-CZ"/>
        </w:rPr>
      </w:pPr>
      <w:r w:rsidRPr="00FA0B8B">
        <w:rPr>
          <w:rFonts w:eastAsiaTheme="minorHAnsi" w:cstheme="minorBidi"/>
          <w:sz w:val="20"/>
          <w:lang w:eastAsia="cs-CZ"/>
        </w:rPr>
        <w:t>a specifických dokumentů k jednotlivým podmínkám.</w:t>
      </w:r>
    </w:p>
    <w:p w:rsidR="00FA0B8B" w:rsidRPr="00FA0B8B" w:rsidP="00FA0B8B" w14:paraId="3D7A7706" w14:textId="77777777">
      <w:pPr>
        <w:pStyle w:val="ListParagraph"/>
        <w:widowControl/>
        <w:autoSpaceDE/>
        <w:autoSpaceDN/>
        <w:spacing w:after="100" w:line="264" w:lineRule="auto"/>
        <w:ind w:left="720"/>
        <w:jc w:val="both"/>
        <w:rPr>
          <w:rFonts w:eastAsiaTheme="minorHAnsi" w:cstheme="minorBidi"/>
          <w:sz w:val="20"/>
          <w:lang w:eastAsia="cs-CZ"/>
        </w:rPr>
      </w:pPr>
    </w:p>
    <w:p w:rsidR="007C5AC0" w:rsidRPr="00FA0B8B" w:rsidP="00FA0B8B" w14:paraId="1E34E79D" w14:textId="77777777">
      <w:pPr>
        <w:spacing w:after="240" w:line="276" w:lineRule="auto"/>
        <w:jc w:val="both"/>
        <w:rPr>
          <w:sz w:val="20"/>
          <w:szCs w:val="20"/>
        </w:rPr>
      </w:pPr>
      <w:r w:rsidRPr="00FA0B8B">
        <w:rPr>
          <w:rFonts w:eastAsiaTheme="minorEastAsia"/>
          <w:sz w:val="20"/>
          <w:szCs w:val="20"/>
        </w:rPr>
        <w:t>Žadatel dále zajistí, aby se relevantní</w:t>
      </w:r>
      <w:r w:rsidRPr="00FA0B8B" w:rsidR="004F38AD">
        <w:rPr>
          <w:rFonts w:eastAsiaTheme="minorEastAsia"/>
          <w:sz w:val="20"/>
          <w:szCs w:val="20"/>
        </w:rPr>
        <w:t xml:space="preserve"> </w:t>
      </w:r>
      <w:r w:rsidRPr="00FA0B8B">
        <w:rPr>
          <w:rFonts w:eastAsiaTheme="minorEastAsia"/>
          <w:sz w:val="20"/>
          <w:szCs w:val="20"/>
        </w:rPr>
        <w:t>podmínky DNSH promítly do zadávacích řízení, které souvisejí s realizací projektu. Na všechny podmínky DNSH se vztahuje možnost kontroly na místě</w:t>
      </w:r>
      <w:r w:rsidRPr="00FA0B8B" w:rsidR="004F38AD">
        <w:rPr>
          <w:rFonts w:eastAsiaTheme="minorEastAsia"/>
          <w:sz w:val="20"/>
          <w:szCs w:val="20"/>
        </w:rPr>
        <w:t xml:space="preserve"> SFŽP ČR </w:t>
      </w:r>
      <w:r w:rsidRPr="00FA0B8B">
        <w:rPr>
          <w:rFonts w:eastAsiaTheme="minorEastAsia"/>
          <w:sz w:val="20"/>
          <w:szCs w:val="20"/>
        </w:rPr>
        <w:t>může zároveň kdykoliv požádat o doložení relevantní dokumentace prokazující soulad realizace projektu s podmínkami DNSH.</w:t>
      </w:r>
    </w:p>
    <w:p w:rsidR="0080480A" w:rsidRPr="00FA0B8B" w:rsidP="00FA0B8B" w14:paraId="6EA641FB" w14:textId="77777777">
      <w:pPr>
        <w:pBdr>
          <w:top w:val="nil"/>
          <w:left w:val="nil"/>
          <w:bottom w:val="nil"/>
          <w:right w:val="nil"/>
        </w:pBdr>
        <w:spacing w:after="240" w:line="276" w:lineRule="auto"/>
        <w:jc w:val="both"/>
        <w:rPr>
          <w:sz w:val="20"/>
          <w:szCs w:val="20"/>
        </w:rPr>
      </w:pPr>
      <w:r w:rsidRPr="00FA0B8B">
        <w:rPr>
          <w:rFonts w:eastAsia="Calibri"/>
          <w:color w:val="000000" w:themeColor="text1"/>
          <w:sz w:val="20"/>
          <w:szCs w:val="20"/>
          <w:u w:val="single"/>
        </w:rPr>
        <w:t>Vymezení jednotlivých podmínek DNSH a požadované formy dokladování</w:t>
      </w:r>
      <w:r w:rsidRPr="00FA0B8B">
        <w:rPr>
          <w:rFonts w:eastAsia="Calibri"/>
          <w:color w:val="000000"/>
          <w:sz w:val="20"/>
          <w:szCs w:val="20"/>
        </w:rPr>
        <w:t xml:space="preserve">: </w:t>
      </w:r>
    </w:p>
    <w:p w:rsidR="0080480A" w:rsidP="006E2E45" w14:paraId="7B3E331D" w14:textId="77777777">
      <w:pPr>
        <w:pStyle w:val="ListParagraph"/>
        <w:widowControl/>
        <w:numPr>
          <w:ilvl w:val="0"/>
          <w:numId w:val="17"/>
        </w:numPr>
        <w:autoSpaceDE/>
        <w:autoSpaceDN/>
        <w:spacing w:line="276" w:lineRule="auto"/>
        <w:contextualSpacing/>
        <w:jc w:val="both"/>
        <w:rPr>
          <w:rFonts w:eastAsiaTheme="minorEastAsia"/>
          <w:sz w:val="20"/>
          <w:szCs w:val="20"/>
        </w:rPr>
      </w:pPr>
      <w:r w:rsidRPr="00FA0B8B">
        <w:rPr>
          <w:rFonts w:eastAsiaTheme="minorEastAsia"/>
          <w:sz w:val="20"/>
          <w:szCs w:val="20"/>
        </w:rPr>
        <w:t xml:space="preserve">Z Výzvy nelze podporovat investice do výroby, zpracování, přepravy, distribuce, skladování nebo spalování fosilních paliv včetně investic do materiálního využití fosilních paliv; </w:t>
      </w:r>
    </w:p>
    <w:p w:rsidR="006E2E45" w:rsidRPr="00FA0B8B" w:rsidP="006E2E45" w14:paraId="1C3BE655" w14:textId="77777777">
      <w:pPr>
        <w:pStyle w:val="ListParagraph"/>
        <w:widowControl/>
        <w:autoSpaceDE/>
        <w:autoSpaceDN/>
        <w:spacing w:line="276" w:lineRule="auto"/>
        <w:ind w:left="928"/>
        <w:contextualSpacing/>
        <w:jc w:val="both"/>
        <w:rPr>
          <w:rFonts w:eastAsiaTheme="minorEastAsia"/>
          <w:sz w:val="20"/>
          <w:szCs w:val="20"/>
        </w:rPr>
      </w:pPr>
    </w:p>
    <w:p w:rsidR="007C5AC0" w:rsidRPr="00FA0B8B" w:rsidP="006E2E45" w14:paraId="41001C07" w14:textId="77777777">
      <w:pPr>
        <w:pStyle w:val="ListParagraph"/>
        <w:widowControl/>
        <w:numPr>
          <w:ilvl w:val="0"/>
          <w:numId w:val="17"/>
        </w:numPr>
        <w:autoSpaceDE/>
        <w:autoSpaceDN/>
        <w:spacing w:line="276" w:lineRule="auto"/>
        <w:contextualSpacing/>
        <w:jc w:val="both"/>
        <w:rPr>
          <w:sz w:val="20"/>
          <w:szCs w:val="20"/>
        </w:rPr>
      </w:pPr>
      <w:r w:rsidRPr="00FA0B8B">
        <w:rPr>
          <w:rFonts w:eastAsiaTheme="minorEastAsia"/>
          <w:sz w:val="20"/>
          <w:szCs w:val="20"/>
        </w:rPr>
        <w:t>Z </w:t>
      </w:r>
      <w:r w:rsidRPr="00FA0B8B" w:rsidR="000E4D59">
        <w:rPr>
          <w:rFonts w:eastAsiaTheme="minorEastAsia"/>
          <w:sz w:val="20"/>
          <w:szCs w:val="20"/>
        </w:rPr>
        <w:t>Výzvy</w:t>
      </w:r>
      <w:r w:rsidRPr="00FA0B8B">
        <w:rPr>
          <w:rFonts w:eastAsiaTheme="minorEastAsia"/>
          <w:sz w:val="20"/>
          <w:szCs w:val="20"/>
        </w:rPr>
        <w:t xml:space="preserve"> lze podporovat stavby (nových budov </w:t>
      </w:r>
      <w:r w:rsidRPr="006E2E45">
        <w:rPr>
          <w:rFonts w:eastAsiaTheme="minorEastAsia"/>
          <w:sz w:val="20"/>
          <w:szCs w:val="20"/>
        </w:rPr>
        <w:t>a jejich rekonstrukcí, technické infrastruktury apod.), pouze za těchto podmínek:</w:t>
      </w:r>
    </w:p>
    <w:p w:rsidR="00FA0B8B" w:rsidRPr="006E2E45" w:rsidP="00FA0B8B" w14:paraId="3C400785" w14:textId="77777777">
      <w:pPr>
        <w:pStyle w:val="ListParagraph"/>
        <w:widowControl/>
        <w:autoSpaceDE/>
        <w:autoSpaceDN/>
        <w:spacing w:line="276" w:lineRule="auto"/>
        <w:ind w:left="928"/>
        <w:contextualSpacing/>
        <w:jc w:val="both"/>
        <w:rPr>
          <w:sz w:val="20"/>
          <w:szCs w:val="20"/>
        </w:rPr>
      </w:pPr>
    </w:p>
    <w:p w:rsidR="007C5AC0" w:rsidRPr="006E2E45" w:rsidP="006E2E45" w14:paraId="7F6D3E06" w14:textId="77777777">
      <w:pPr>
        <w:pStyle w:val="ListParagraph"/>
        <w:widowControl/>
        <w:numPr>
          <w:ilvl w:val="0"/>
          <w:numId w:val="10"/>
        </w:numPr>
        <w:tabs>
          <w:tab w:val="left" w:pos="1840"/>
        </w:tabs>
        <w:autoSpaceDE/>
        <w:autoSpaceDN/>
        <w:spacing w:after="240" w:line="276" w:lineRule="auto"/>
        <w:ind w:left="1418"/>
        <w:jc w:val="both"/>
        <w:rPr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 xml:space="preserve">Nejméně 70 % (hmotnostních) stavebního a demoličního odpadu neklasifikovaného jako nebezpečný ( s výjimkou v přírodě se vyskytujících materiálů uvedených v kategorii 17 05 04 v Evropském seznamu odpadů stanoveném rozhodnutím 2000/532/ES) vzniklého na staveništi je připraveno k opětovnému použití, recyklaci a k jiným druhům materiálového využití, včetně zásypů, při nichž jsou jiné materiály nahrazeny odpadem, v souladu s hierarchií způsobů nakládání s odpady a protokolem EU pro nakládání se stavebním a demoličním odpadem. </w:t>
      </w:r>
    </w:p>
    <w:p w:rsidR="007C5AC0" w:rsidP="006E2E45" w14:paraId="1CF15BAD" w14:textId="77777777">
      <w:pPr>
        <w:pStyle w:val="ListParagraph"/>
        <w:widowControl/>
        <w:numPr>
          <w:ilvl w:val="0"/>
          <w:numId w:val="10"/>
        </w:numPr>
        <w:tabs>
          <w:tab w:val="left" w:pos="1840"/>
        </w:tabs>
        <w:autoSpaceDE/>
        <w:autoSpaceDN/>
        <w:spacing w:after="240" w:line="276" w:lineRule="auto"/>
        <w:ind w:left="1418"/>
        <w:jc w:val="both"/>
        <w:rPr>
          <w:rFonts w:eastAsiaTheme="minorEastAsia"/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>Na stavbě je omezován vznik odpadů v souladu s EU Construction and Demolition Waste Management Protocol a berou se do úvahy nejlepší dostupné techniky sloužící k odstranění nebezpečného odpadu a znovuvyužití materiálů. Dříve zmíněné je v souladu s odpadovou legislativou zejména zákonem č. 541/2020 Sb., o odpadech a navazujícími právními předpisy vyhláškou č. 273/2021 Sb., o podrobnostech nakládání s odpady a vyhláškou č. 8/2021 Sb., Katalogem odpadů, doplněné metodickým návodem pro řízení vzniku stavebních a demoličních odpadů a pro nakládání s nimi.</w:t>
      </w:r>
    </w:p>
    <w:p w:rsidR="006E2E45" w:rsidRPr="006E2E45" w:rsidP="006E2E45" w14:paraId="7256BA1C" w14:textId="77777777">
      <w:pPr>
        <w:pStyle w:val="ListParagraph"/>
        <w:widowControl/>
        <w:tabs>
          <w:tab w:val="left" w:pos="1840"/>
        </w:tabs>
        <w:autoSpaceDE/>
        <w:autoSpaceDN/>
        <w:spacing w:after="240" w:line="276" w:lineRule="auto"/>
        <w:ind w:left="1418"/>
        <w:jc w:val="both"/>
        <w:rPr>
          <w:rFonts w:eastAsiaTheme="minorEastAsia"/>
          <w:sz w:val="20"/>
          <w:szCs w:val="20"/>
        </w:rPr>
      </w:pPr>
    </w:p>
    <w:p w:rsidR="007C5AC0" w:rsidRPr="006E2E45" w:rsidP="006E2E45" w14:paraId="042EC235" w14:textId="77777777">
      <w:pPr>
        <w:pBdr>
          <w:top w:val="nil"/>
          <w:left w:val="nil"/>
          <w:bottom w:val="nil"/>
          <w:right w:val="nil"/>
        </w:pBdr>
        <w:tabs>
          <w:tab w:val="left" w:pos="1840"/>
        </w:tabs>
        <w:spacing w:after="240" w:line="276" w:lineRule="auto"/>
        <w:ind w:left="1418"/>
        <w:jc w:val="both"/>
        <w:rPr>
          <w:color w:val="000000"/>
          <w:sz w:val="20"/>
          <w:szCs w:val="20"/>
        </w:rPr>
      </w:pPr>
      <w:r w:rsidRPr="006E2E45">
        <w:rPr>
          <w:rFonts w:eastAsia="Calibri"/>
          <w:color w:val="000000" w:themeColor="text1"/>
          <w:sz w:val="20"/>
          <w:szCs w:val="20"/>
          <w:u w:val="single"/>
        </w:rPr>
        <w:t>Zajištění souladu</w:t>
      </w:r>
      <w:r w:rsidRPr="006E2E45">
        <w:rPr>
          <w:rFonts w:eastAsia="Calibri"/>
          <w:color w:val="000000" w:themeColor="text1"/>
          <w:sz w:val="20"/>
          <w:szCs w:val="20"/>
        </w:rPr>
        <w:t xml:space="preserve"> </w:t>
      </w:r>
      <w:r w:rsidRPr="006E2E45">
        <w:rPr>
          <w:rFonts w:eastAsia="Calibri"/>
          <w:color w:val="000000" w:themeColor="text1"/>
          <w:sz w:val="20"/>
          <w:szCs w:val="20"/>
          <w:u w:val="single"/>
        </w:rPr>
        <w:t xml:space="preserve">s podmínkami a) a b): </w:t>
      </w:r>
    </w:p>
    <w:p w:rsidR="007C5AC0" w:rsidRPr="006E2E45" w:rsidP="006E2E45" w14:paraId="10DD0C73" w14:textId="77777777">
      <w:pPr>
        <w:pBdr>
          <w:top w:val="nil"/>
          <w:left w:val="nil"/>
          <w:bottom w:val="nil"/>
          <w:right w:val="nil"/>
        </w:pBdr>
        <w:tabs>
          <w:tab w:val="left" w:pos="1840"/>
        </w:tabs>
        <w:spacing w:after="240" w:line="276" w:lineRule="auto"/>
        <w:ind w:left="1418"/>
        <w:jc w:val="both"/>
        <w:rPr>
          <w:rFonts w:eastAsia="Calibri"/>
          <w:color w:val="000000"/>
          <w:sz w:val="20"/>
          <w:szCs w:val="20"/>
        </w:rPr>
      </w:pPr>
      <w:r w:rsidRPr="006E2E45">
        <w:rPr>
          <w:rFonts w:eastAsia="Calibri"/>
          <w:color w:val="000000" w:themeColor="text1"/>
          <w:sz w:val="20"/>
          <w:szCs w:val="20"/>
        </w:rPr>
        <w:t>Příjemce dotace předkládá s</w:t>
      </w:r>
      <w:r w:rsidRPr="006E2E45">
        <w:rPr>
          <w:rFonts w:eastAsia="Calibri"/>
          <w:color w:val="000000"/>
          <w:sz w:val="20"/>
          <w:szCs w:val="20"/>
        </w:rPr>
        <w:t>tanovisko TDI po ukončení stavby, nejpozději ke konci fyzické realizace projektu.</w:t>
      </w:r>
    </w:p>
    <w:p w:rsidR="007C5AC0" w:rsidRPr="006E2E45" w:rsidP="00FA0B8B" w14:paraId="0B335D2A" w14:textId="77777777">
      <w:pPr>
        <w:pStyle w:val="ListParagraph"/>
        <w:keepNext/>
        <w:widowControl/>
        <w:numPr>
          <w:ilvl w:val="0"/>
          <w:numId w:val="17"/>
        </w:numPr>
        <w:autoSpaceDE/>
        <w:autoSpaceDN/>
        <w:spacing w:after="240" w:line="276" w:lineRule="auto"/>
        <w:contextualSpacing/>
        <w:jc w:val="both"/>
        <w:rPr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 xml:space="preserve"> Z </w:t>
      </w:r>
      <w:r w:rsidRPr="006E2E45" w:rsidR="00D3400D">
        <w:rPr>
          <w:rFonts w:eastAsiaTheme="minorEastAsia"/>
          <w:sz w:val="20"/>
          <w:szCs w:val="20"/>
        </w:rPr>
        <w:t>Výzvy</w:t>
      </w:r>
      <w:r w:rsidRPr="006E2E45">
        <w:rPr>
          <w:rFonts w:eastAsiaTheme="minorEastAsia"/>
          <w:sz w:val="20"/>
          <w:szCs w:val="20"/>
        </w:rPr>
        <w:t xml:space="preserve"> lze podporovat </w:t>
      </w:r>
      <w:r w:rsidRPr="006E2E45">
        <w:rPr>
          <w:rFonts w:eastAsiaTheme="minorEastAsia"/>
          <w:b/>
          <w:bCs/>
          <w:sz w:val="20"/>
          <w:szCs w:val="20"/>
        </w:rPr>
        <w:t>výstavbu nových budov</w:t>
      </w:r>
      <w:r>
        <w:rPr>
          <w:rStyle w:val="FootnoteReference"/>
          <w:rFonts w:eastAsiaTheme="minorEastAsia"/>
          <w:b/>
          <w:bCs/>
          <w:sz w:val="20"/>
          <w:szCs w:val="20"/>
        </w:rPr>
        <w:footnoteReference w:id="3"/>
      </w:r>
      <w:r w:rsidRPr="006E2E45">
        <w:rPr>
          <w:rFonts w:eastAsiaTheme="minorEastAsia"/>
          <w:sz w:val="20"/>
          <w:szCs w:val="20"/>
        </w:rPr>
        <w:t>, pouze za těchto podmínek:</w:t>
      </w:r>
    </w:p>
    <w:p w:rsidR="006E2E45" w:rsidRPr="006E2E45" w:rsidP="006E2E45" w14:paraId="4C89CF60" w14:textId="77777777">
      <w:pPr>
        <w:pStyle w:val="ListParagraph"/>
        <w:keepNext/>
        <w:widowControl/>
        <w:autoSpaceDE/>
        <w:autoSpaceDN/>
        <w:spacing w:after="240" w:line="276" w:lineRule="auto"/>
        <w:ind w:left="928"/>
        <w:contextualSpacing/>
        <w:jc w:val="both"/>
        <w:rPr>
          <w:sz w:val="20"/>
          <w:szCs w:val="20"/>
        </w:rPr>
      </w:pPr>
    </w:p>
    <w:p w:rsidR="007C5AC0" w:rsidRPr="006E2E45" w:rsidP="006E2E45" w14:paraId="5DE57BC7" w14:textId="77777777">
      <w:pPr>
        <w:pStyle w:val="ListParagraph"/>
        <w:widowControl/>
        <w:numPr>
          <w:ilvl w:val="0"/>
          <w:numId w:val="5"/>
        </w:numPr>
        <w:tabs>
          <w:tab w:val="left" w:pos="1840"/>
        </w:tabs>
        <w:autoSpaceDE/>
        <w:autoSpaceDN/>
        <w:spacing w:after="240" w:line="276" w:lineRule="auto"/>
        <w:ind w:left="1560" w:hanging="142"/>
        <w:jc w:val="both"/>
        <w:rPr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>Spotřeba primární energie</w:t>
      </w:r>
      <w:r>
        <w:rPr>
          <w:rStyle w:val="FootnoteReference"/>
          <w:rFonts w:eastAsiaTheme="minorEastAsia"/>
          <w:sz w:val="20"/>
          <w:szCs w:val="20"/>
        </w:rPr>
        <w:footnoteReference w:id="4"/>
      </w:r>
      <w:r w:rsidRPr="006E2E45">
        <w:rPr>
          <w:rFonts w:eastAsiaTheme="minorEastAsia"/>
          <w:sz w:val="20"/>
          <w:szCs w:val="20"/>
        </w:rPr>
        <w:t xml:space="preserve"> definující energetickou náročnost budovy, která je výsledkem výstavby, je </w:t>
      </w:r>
      <w:r w:rsidRPr="006E2E45">
        <w:rPr>
          <w:rFonts w:eastAsiaTheme="minorEastAsia"/>
          <w:sz w:val="20"/>
          <w:szCs w:val="20"/>
          <w:u w:val="single"/>
        </w:rPr>
        <w:t>nejméně o 20 % nižší</w:t>
      </w:r>
      <w:r w:rsidRPr="006E2E45">
        <w:rPr>
          <w:rFonts w:eastAsiaTheme="minorEastAsia"/>
          <w:sz w:val="20"/>
          <w:szCs w:val="20"/>
        </w:rPr>
        <w:t xml:space="preserve"> než prahová hodnota, kterou u požadavků na budovy s téměř nulovou spotřebou energie stanoví vnitrostátní opatření provádějící směrnici Evropského parlamentu a Rady 2010/31/EU.</w:t>
      </w:r>
    </w:p>
    <w:p w:rsidR="007C5AC0" w:rsidRPr="006E2E45" w:rsidP="006E2E45" w14:paraId="47CA5C55" w14:textId="77777777">
      <w:pPr>
        <w:pStyle w:val="ListParagraph"/>
        <w:tabs>
          <w:tab w:val="left" w:pos="1840"/>
        </w:tabs>
        <w:spacing w:after="240" w:line="276" w:lineRule="auto"/>
        <w:ind w:left="1560" w:hanging="142"/>
        <w:jc w:val="both"/>
        <w:rPr>
          <w:rFonts w:eastAsiaTheme="minorEastAsia"/>
          <w:sz w:val="20"/>
          <w:szCs w:val="20"/>
          <w:u w:val="single"/>
        </w:rPr>
      </w:pPr>
      <w:r w:rsidRPr="006E2E45">
        <w:rPr>
          <w:rFonts w:eastAsiaTheme="minorEastAsia"/>
          <w:sz w:val="20"/>
          <w:szCs w:val="20"/>
          <w:u w:val="single"/>
        </w:rPr>
        <w:t>Uvedenou podmínku není nutné splnit v případě</w:t>
      </w:r>
      <w:r w:rsidRPr="006E2E45">
        <w:rPr>
          <w:sz w:val="20"/>
          <w:szCs w:val="20"/>
          <w:u w:val="single"/>
        </w:rPr>
        <w:t xml:space="preserve">: </w:t>
      </w:r>
    </w:p>
    <w:p w:rsidR="007C5AC0" w:rsidRPr="006E2E45" w:rsidP="006E2E45" w14:paraId="3944F6F4" w14:textId="77777777">
      <w:pPr>
        <w:pStyle w:val="Default"/>
        <w:numPr>
          <w:ilvl w:val="0"/>
          <w:numId w:val="14"/>
        </w:numPr>
        <w:spacing w:after="240" w:line="276" w:lineRule="auto"/>
        <w:ind w:left="1560" w:hanging="142"/>
        <w:jc w:val="both"/>
        <w:rPr>
          <w:rFonts w:ascii="Segoe UI" w:hAnsi="Segoe UI" w:eastAsiaTheme="minorEastAsia" w:cs="Segoe UI"/>
          <w:sz w:val="20"/>
          <w:szCs w:val="20"/>
        </w:rPr>
      </w:pPr>
      <w:r w:rsidRPr="006E2E45">
        <w:rPr>
          <w:rFonts w:ascii="Segoe UI" w:hAnsi="Segoe UI" w:eastAsiaTheme="minorEastAsia" w:cs="Segoe UI"/>
          <w:sz w:val="20"/>
          <w:szCs w:val="20"/>
        </w:rPr>
        <w:t>výstavby budov s celkovou energeticky vztažnou plochou menší než 50 m</w:t>
      </w:r>
      <w:r w:rsidRPr="006E2E45">
        <w:rPr>
          <w:rFonts w:ascii="Segoe UI" w:hAnsi="Segoe UI" w:eastAsiaTheme="minorEastAsia" w:cs="Segoe UI"/>
          <w:sz w:val="20"/>
          <w:szCs w:val="20"/>
          <w:vertAlign w:val="superscript"/>
        </w:rPr>
        <w:t>2</w:t>
      </w:r>
      <w:r w:rsidRPr="006E2E45">
        <w:rPr>
          <w:rFonts w:ascii="Segoe UI" w:hAnsi="Segoe UI" w:eastAsiaTheme="minorEastAsia" w:cs="Segoe UI"/>
          <w:sz w:val="20"/>
          <w:szCs w:val="20"/>
        </w:rPr>
        <w:t xml:space="preserve">, </w:t>
      </w:r>
    </w:p>
    <w:p w:rsidR="007C5AC0" w:rsidRPr="006E2E45" w:rsidP="006E2E45" w14:paraId="25C2D2D2" w14:textId="77777777">
      <w:pPr>
        <w:pStyle w:val="Default"/>
        <w:numPr>
          <w:ilvl w:val="0"/>
          <w:numId w:val="14"/>
        </w:numPr>
        <w:spacing w:after="240" w:line="276" w:lineRule="auto"/>
        <w:ind w:left="1560" w:hanging="142"/>
        <w:jc w:val="both"/>
        <w:rPr>
          <w:rFonts w:ascii="Segoe UI" w:hAnsi="Segoe UI" w:eastAsiaTheme="minorEastAsia" w:cs="Segoe UI"/>
          <w:sz w:val="20"/>
          <w:szCs w:val="20"/>
        </w:rPr>
      </w:pPr>
      <w:r w:rsidRPr="006E2E45">
        <w:rPr>
          <w:rFonts w:ascii="Segoe UI" w:hAnsi="Segoe UI" w:eastAsiaTheme="minorEastAsia" w:cs="Segoe UI"/>
          <w:sz w:val="20"/>
          <w:szCs w:val="20"/>
        </w:rPr>
        <w:t xml:space="preserve">výstavby skladů, průmyslových a výrobních provozů či dílenských provozoven,  </w:t>
      </w:r>
    </w:p>
    <w:p w:rsidR="007C5AC0" w:rsidRPr="006E2E45" w:rsidP="006E2E45" w14:paraId="3E1E9682" w14:textId="77777777">
      <w:pPr>
        <w:pStyle w:val="Default"/>
        <w:numPr>
          <w:ilvl w:val="0"/>
          <w:numId w:val="14"/>
        </w:numPr>
        <w:spacing w:after="240" w:line="276" w:lineRule="auto"/>
        <w:ind w:left="1560" w:hanging="142"/>
        <w:jc w:val="both"/>
        <w:rPr>
          <w:rFonts w:eastAsiaTheme="minorEastAsia" w:cs="Segoe UI"/>
          <w:sz w:val="20"/>
          <w:szCs w:val="20"/>
        </w:rPr>
      </w:pPr>
      <w:r w:rsidRPr="006E2E45">
        <w:rPr>
          <w:rFonts w:ascii="Segoe UI" w:hAnsi="Segoe UI" w:cs="Segoe UI"/>
          <w:sz w:val="20"/>
          <w:szCs w:val="20"/>
        </w:rPr>
        <w:t>tzv. drobné stavby dle přílohy č.1 zákona 283/2021 Sb. (stavební zákon), v platném znění</w:t>
      </w:r>
      <w:r w:rsidRPr="006E2E45">
        <w:rPr>
          <w:rFonts w:ascii="Segoe UI" w:hAnsi="Segoe UI" w:eastAsiaTheme="minorEastAsia" w:cs="Segoe UI"/>
          <w:sz w:val="20"/>
          <w:szCs w:val="20"/>
        </w:rPr>
        <w:t>;</w:t>
      </w:r>
    </w:p>
    <w:p w:rsidR="007C5AC0" w:rsidRPr="006E2E45" w:rsidP="006E2E45" w14:paraId="3680D95C" w14:textId="77777777">
      <w:pPr>
        <w:pStyle w:val="ListParagraph"/>
        <w:tabs>
          <w:tab w:val="left" w:pos="1840"/>
        </w:tabs>
        <w:spacing w:after="240" w:line="276" w:lineRule="auto"/>
        <w:ind w:left="1560" w:hanging="142"/>
        <w:jc w:val="both"/>
        <w:rPr>
          <w:rFonts w:eastAsiaTheme="minorEastAsia"/>
          <w:b/>
          <w:color w:val="000000"/>
          <w:sz w:val="20"/>
          <w:szCs w:val="20"/>
        </w:rPr>
      </w:pPr>
      <w:r w:rsidRPr="006E2E45">
        <w:rPr>
          <w:rFonts w:eastAsia="Calibri"/>
          <w:color w:val="000000" w:themeColor="text1"/>
          <w:sz w:val="20"/>
          <w:szCs w:val="20"/>
          <w:u w:val="single"/>
        </w:rPr>
        <w:t>Zajištění souladu s podmínkou a):</w:t>
      </w:r>
      <w:r w:rsidRPr="006E2E45">
        <w:rPr>
          <w:rFonts w:eastAsiaTheme="minorEastAsia"/>
          <w:b/>
          <w:color w:val="000000" w:themeColor="text1"/>
          <w:sz w:val="20"/>
          <w:szCs w:val="20"/>
        </w:rPr>
        <w:t xml:space="preserve"> </w:t>
      </w:r>
    </w:p>
    <w:p w:rsidR="007C5AC0" w:rsidRPr="006E2E45" w:rsidP="006E2E45" w14:paraId="081F79FD" w14:textId="77777777">
      <w:pPr>
        <w:pStyle w:val="ListParagraph"/>
        <w:tabs>
          <w:tab w:val="left" w:pos="1840"/>
        </w:tabs>
        <w:spacing w:after="240" w:line="276" w:lineRule="auto"/>
        <w:ind w:left="1560" w:hanging="142"/>
        <w:jc w:val="both"/>
        <w:rPr>
          <w:sz w:val="20"/>
          <w:szCs w:val="20"/>
        </w:rPr>
      </w:pPr>
      <w:r w:rsidRPr="006E2E45">
        <w:rPr>
          <w:rFonts w:eastAsia="Calibri"/>
          <w:color w:val="000000" w:themeColor="text1"/>
          <w:sz w:val="20"/>
          <w:szCs w:val="20"/>
        </w:rPr>
        <w:t xml:space="preserve">Příjemce dotace předkládá </w:t>
      </w:r>
      <w:r w:rsidRPr="006E2E45">
        <w:rPr>
          <w:rFonts w:eastAsiaTheme="minorEastAsia"/>
          <w:sz w:val="20"/>
          <w:szCs w:val="20"/>
        </w:rPr>
        <w:t xml:space="preserve">k žádosti o podporu </w:t>
      </w:r>
      <w:r w:rsidRPr="006E2E45">
        <w:rPr>
          <w:color w:val="000000" w:themeColor="text1"/>
          <w:sz w:val="20"/>
          <w:szCs w:val="20"/>
        </w:rPr>
        <w:t>p</w:t>
      </w:r>
      <w:r w:rsidRPr="006E2E45">
        <w:rPr>
          <w:sz w:val="20"/>
          <w:szCs w:val="20"/>
        </w:rPr>
        <w:t>růkaz energetické náročnosti budovy (PENB) dle vyhlášky č. 264/2020 Sb., o energické náročnosti budov, v platném znění, pro stav po realizaci projektu.</w:t>
      </w:r>
    </w:p>
    <w:p w:rsidR="007C5AC0" w:rsidRPr="006E2E45" w:rsidP="00FA0B8B" w14:paraId="3A97910A" w14:textId="77777777">
      <w:pPr>
        <w:pStyle w:val="ListParagraph"/>
        <w:widowControl/>
        <w:numPr>
          <w:ilvl w:val="0"/>
          <w:numId w:val="17"/>
        </w:numPr>
        <w:autoSpaceDE/>
        <w:autoSpaceDN/>
        <w:spacing w:after="240" w:line="276" w:lineRule="auto"/>
        <w:contextualSpacing/>
        <w:jc w:val="both"/>
        <w:rPr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>Z </w:t>
      </w:r>
      <w:r w:rsidRPr="006E2E45" w:rsidR="00D3400D">
        <w:rPr>
          <w:rFonts w:eastAsiaTheme="minorEastAsia"/>
          <w:sz w:val="20"/>
          <w:szCs w:val="20"/>
        </w:rPr>
        <w:t>Výzvy</w:t>
      </w:r>
      <w:r w:rsidRPr="006E2E45">
        <w:rPr>
          <w:rFonts w:eastAsiaTheme="minorEastAsia"/>
          <w:sz w:val="20"/>
          <w:szCs w:val="20"/>
        </w:rPr>
        <w:t xml:space="preserve"> lze podporovat </w:t>
      </w:r>
      <w:r w:rsidRPr="006E2E45">
        <w:rPr>
          <w:rFonts w:eastAsiaTheme="minorEastAsia"/>
          <w:b/>
          <w:bCs/>
          <w:sz w:val="20"/>
          <w:szCs w:val="20"/>
        </w:rPr>
        <w:t>rekonstrukci budov</w:t>
      </w:r>
      <w:r w:rsidRPr="006E2E45">
        <w:rPr>
          <w:rFonts w:eastAsiaTheme="minorEastAsia"/>
          <w:sz w:val="20"/>
          <w:szCs w:val="20"/>
        </w:rPr>
        <w:t>, pouze za těchto podmínek:</w:t>
      </w:r>
    </w:p>
    <w:p w:rsidR="006E2E45" w:rsidRPr="006E2E45" w:rsidP="006E2E45" w14:paraId="63A3F3F6" w14:textId="77777777">
      <w:pPr>
        <w:pStyle w:val="ListParagraph"/>
        <w:widowControl/>
        <w:autoSpaceDE/>
        <w:autoSpaceDN/>
        <w:spacing w:after="240" w:line="276" w:lineRule="auto"/>
        <w:ind w:left="928"/>
        <w:contextualSpacing/>
        <w:jc w:val="both"/>
        <w:rPr>
          <w:sz w:val="20"/>
          <w:szCs w:val="20"/>
        </w:rPr>
      </w:pPr>
    </w:p>
    <w:p w:rsidR="007C5AC0" w:rsidRPr="006E2E45" w:rsidP="006E2E45" w14:paraId="23D32193" w14:textId="77777777">
      <w:pPr>
        <w:pStyle w:val="ListParagraph"/>
        <w:widowControl/>
        <w:numPr>
          <w:ilvl w:val="0"/>
          <w:numId w:val="6"/>
        </w:numPr>
        <w:tabs>
          <w:tab w:val="left" w:pos="1840"/>
        </w:tabs>
        <w:autoSpaceDE/>
        <w:autoSpaceDN/>
        <w:spacing w:after="240" w:line="276" w:lineRule="auto"/>
        <w:ind w:left="1418" w:hanging="425"/>
        <w:jc w:val="both"/>
        <w:rPr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 xml:space="preserve">Při renovaci budovy (konstrukce obálky budovy, energetické zdroje, či realizace dalších opatření vedoucích ke snížené energetické náročnosti budovy) musí dojít k úspoře minimálně 30 % primární energie </w:t>
      </w:r>
      <w:r w:rsidRPr="006E2E45">
        <w:rPr>
          <w:rFonts w:eastAsiaTheme="minorEastAsia"/>
          <w:sz w:val="20"/>
          <w:szCs w:val="20"/>
          <w:u w:val="single"/>
        </w:rPr>
        <w:t>z neobnovitelných zdrojů</w:t>
      </w:r>
      <w:r w:rsidRPr="006E2E45">
        <w:rPr>
          <w:rFonts w:eastAsiaTheme="minorEastAsia"/>
          <w:sz w:val="20"/>
          <w:szCs w:val="20"/>
        </w:rPr>
        <w:t xml:space="preserve">. </w:t>
      </w:r>
    </w:p>
    <w:p w:rsidR="007C5AC0" w:rsidRPr="006E2E45" w:rsidP="006E2E45" w14:paraId="75BBCBE2" w14:textId="77777777">
      <w:pPr>
        <w:pStyle w:val="ListParagraph"/>
        <w:tabs>
          <w:tab w:val="left" w:pos="1840"/>
        </w:tabs>
        <w:spacing w:after="240" w:line="276" w:lineRule="auto"/>
        <w:ind w:left="1418" w:hanging="142"/>
        <w:jc w:val="both"/>
        <w:rPr>
          <w:rFonts w:eastAsiaTheme="minorEastAsia"/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 xml:space="preserve">V odůvodněných případech je možné dosáhnout i nižší úspory a to např.: </w:t>
      </w:r>
    </w:p>
    <w:p w:rsidR="007C5AC0" w:rsidRPr="006E2E45" w:rsidP="006E2E45" w14:paraId="408981E1" w14:textId="77777777">
      <w:pPr>
        <w:pStyle w:val="Default"/>
        <w:numPr>
          <w:ilvl w:val="0"/>
          <w:numId w:val="14"/>
        </w:numPr>
        <w:spacing w:after="240" w:line="276" w:lineRule="auto"/>
        <w:ind w:left="1418" w:hanging="142"/>
        <w:jc w:val="both"/>
        <w:rPr>
          <w:rFonts w:ascii="Segoe UI" w:hAnsi="Segoe UI" w:eastAsiaTheme="minorEastAsia" w:cs="Segoe UI"/>
          <w:sz w:val="20"/>
          <w:szCs w:val="20"/>
        </w:rPr>
      </w:pPr>
      <w:r w:rsidRPr="006E2E45">
        <w:rPr>
          <w:rFonts w:ascii="Segoe UI" w:hAnsi="Segoe UI" w:eastAsiaTheme="minorEastAsia" w:cs="Segoe UI"/>
          <w:sz w:val="20"/>
          <w:szCs w:val="20"/>
        </w:rPr>
        <w:t xml:space="preserve">pokud je renovace obálky budovy v rozsahu do 25 % z celkové plochy obálky budovy, </w:t>
      </w:r>
    </w:p>
    <w:p w:rsidR="007C5AC0" w:rsidRPr="006E2E45" w:rsidP="006E2E45" w14:paraId="76487A6A" w14:textId="77777777">
      <w:pPr>
        <w:pStyle w:val="Default"/>
        <w:numPr>
          <w:ilvl w:val="0"/>
          <w:numId w:val="14"/>
        </w:numPr>
        <w:spacing w:after="240" w:line="276" w:lineRule="auto"/>
        <w:ind w:left="1418" w:hanging="142"/>
        <w:jc w:val="both"/>
        <w:rPr>
          <w:rFonts w:ascii="Segoe UI" w:hAnsi="Segoe UI" w:eastAsiaTheme="minorEastAsia" w:cs="Segoe UI"/>
          <w:sz w:val="20"/>
          <w:szCs w:val="20"/>
        </w:rPr>
      </w:pPr>
      <w:r w:rsidRPr="006E2E45">
        <w:rPr>
          <w:rFonts w:ascii="Segoe UI" w:hAnsi="Segoe UI" w:eastAsiaTheme="minorEastAsia" w:cs="Segoe UI"/>
          <w:sz w:val="20"/>
          <w:szCs w:val="20"/>
        </w:rPr>
        <w:t xml:space="preserve">v minulosti již byla provedena dílčí renovace, vedoucí ke snížení energetické náročnosti budovy, </w:t>
      </w:r>
    </w:p>
    <w:p w:rsidR="007C5AC0" w:rsidRPr="006E2E45" w:rsidP="006E2E45" w14:paraId="558D2101" w14:textId="77777777">
      <w:pPr>
        <w:pStyle w:val="Default"/>
        <w:numPr>
          <w:ilvl w:val="0"/>
          <w:numId w:val="14"/>
        </w:numPr>
        <w:spacing w:after="240" w:line="276" w:lineRule="auto"/>
        <w:ind w:left="1418" w:hanging="142"/>
        <w:jc w:val="both"/>
        <w:rPr>
          <w:rFonts w:ascii="Segoe UI" w:hAnsi="Segoe UI" w:eastAsiaTheme="minorEastAsia" w:cs="Segoe UI"/>
          <w:sz w:val="20"/>
          <w:szCs w:val="20"/>
        </w:rPr>
      </w:pPr>
      <w:r w:rsidRPr="006E2E45">
        <w:rPr>
          <w:rFonts w:ascii="Segoe UI" w:hAnsi="Segoe UI" w:eastAsiaTheme="minorEastAsia" w:cs="Segoe UI"/>
          <w:sz w:val="20"/>
          <w:szCs w:val="20"/>
        </w:rPr>
        <w:t>existují omezení z důvodu památkové ochrany budovy v souladu s § 7 odst. 5 zákona č. 406/2000 Sb., o hospodaření energií, ve znění pozdějších předpisů,</w:t>
      </w:r>
    </w:p>
    <w:p w:rsidR="007C5AC0" w:rsidRPr="006E2E45" w:rsidP="006E2E45" w14:paraId="2237FDCE" w14:textId="77777777">
      <w:pPr>
        <w:pStyle w:val="Default"/>
        <w:numPr>
          <w:ilvl w:val="0"/>
          <w:numId w:val="14"/>
        </w:numPr>
        <w:spacing w:after="240" w:line="276" w:lineRule="auto"/>
        <w:ind w:left="1418" w:hanging="142"/>
        <w:jc w:val="both"/>
        <w:rPr>
          <w:rFonts w:ascii="Segoe UI" w:hAnsi="Segoe UI" w:eastAsiaTheme="minorEastAsia" w:cs="Segoe UI"/>
          <w:sz w:val="20"/>
          <w:szCs w:val="20"/>
        </w:rPr>
      </w:pPr>
      <w:r w:rsidRPr="006E2E45">
        <w:rPr>
          <w:rFonts w:ascii="Segoe UI" w:hAnsi="Segoe UI" w:eastAsiaTheme="minorEastAsia" w:cs="Segoe UI"/>
          <w:sz w:val="20"/>
          <w:szCs w:val="20"/>
        </w:rPr>
        <w:t>vzhledem k charakteru budovy by se jednalo o nákladově neefektivní opatření;</w:t>
      </w:r>
    </w:p>
    <w:p w:rsidR="007C5AC0" w:rsidP="006E2E45" w14:paraId="59108487" w14:textId="77777777">
      <w:pPr>
        <w:pStyle w:val="ListParagraph"/>
        <w:tabs>
          <w:tab w:val="left" w:pos="1840"/>
        </w:tabs>
        <w:spacing w:after="240" w:line="276" w:lineRule="auto"/>
        <w:ind w:left="1418"/>
        <w:jc w:val="both"/>
        <w:rPr>
          <w:rFonts w:eastAsiaTheme="minorEastAsia"/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 xml:space="preserve">Důvod (důvody), proč není možné limitní úspory dosáhnout, budou objektivně doloženy </w:t>
      </w:r>
      <w:r w:rsidRPr="006E2E45">
        <w:rPr>
          <w:rFonts w:eastAsiaTheme="minorEastAsia"/>
          <w:sz w:val="20"/>
          <w:szCs w:val="20"/>
          <w:u w:val="single"/>
        </w:rPr>
        <w:t>k žádosti o podporu</w:t>
      </w:r>
      <w:r w:rsidRPr="006E2E45">
        <w:rPr>
          <w:rFonts w:eastAsiaTheme="minorEastAsia"/>
          <w:sz w:val="20"/>
          <w:szCs w:val="20"/>
        </w:rPr>
        <w:t xml:space="preserve">, prostřednictvím Energetického posudku, který definuje maximálně možnou hodnotu energetických úspor dosažitelnou realizovaných projektem. Tato hodnota bude povinným závazkem projektu. </w:t>
      </w:r>
    </w:p>
    <w:p w:rsidR="006E2E45" w:rsidP="006E2E45" w14:paraId="69B90DD3" w14:textId="77777777">
      <w:pPr>
        <w:pStyle w:val="ListParagraph"/>
        <w:tabs>
          <w:tab w:val="left" w:pos="1840"/>
        </w:tabs>
        <w:spacing w:after="240" w:line="276" w:lineRule="auto"/>
        <w:ind w:left="37"/>
        <w:jc w:val="both"/>
        <w:rPr>
          <w:rFonts w:eastAsiaTheme="minorEastAsia"/>
          <w:sz w:val="20"/>
          <w:szCs w:val="20"/>
        </w:rPr>
      </w:pPr>
    </w:p>
    <w:p w:rsidR="007C5AC0" w:rsidRPr="006E2E45" w:rsidP="006E2E45" w14:paraId="7B544F3C" w14:textId="77777777">
      <w:pPr>
        <w:tabs>
          <w:tab w:val="left" w:pos="1840"/>
        </w:tabs>
        <w:spacing w:after="240" w:line="276" w:lineRule="auto"/>
        <w:ind w:left="1418"/>
        <w:jc w:val="both"/>
        <w:rPr>
          <w:rFonts w:eastAsiaTheme="minorEastAsia"/>
          <w:sz w:val="20"/>
          <w:szCs w:val="20"/>
          <w:u w:val="single"/>
        </w:rPr>
      </w:pPr>
      <w:r w:rsidRPr="006E2E45">
        <w:rPr>
          <w:rFonts w:eastAsiaTheme="minorEastAsia"/>
          <w:sz w:val="20"/>
          <w:szCs w:val="20"/>
          <w:u w:val="single"/>
        </w:rPr>
        <w:t>Uvedenou podmínku není nutné splnit v případě</w:t>
      </w:r>
      <w:r w:rsidRPr="006E2E45">
        <w:rPr>
          <w:sz w:val="20"/>
          <w:szCs w:val="20"/>
          <w:u w:val="single"/>
        </w:rPr>
        <w:t xml:space="preserve">: </w:t>
      </w:r>
    </w:p>
    <w:p w:rsidR="007C5AC0" w:rsidRPr="006E2E45" w:rsidP="006E2E45" w14:paraId="6C70AD1A" w14:textId="77777777">
      <w:pPr>
        <w:pStyle w:val="Default"/>
        <w:numPr>
          <w:ilvl w:val="0"/>
          <w:numId w:val="14"/>
        </w:numPr>
        <w:spacing w:after="240" w:line="276" w:lineRule="auto"/>
        <w:ind w:left="1418" w:hanging="142"/>
        <w:jc w:val="both"/>
        <w:rPr>
          <w:rFonts w:ascii="Segoe UI" w:hAnsi="Segoe UI" w:eastAsiaTheme="minorEastAsia" w:cs="Segoe UI"/>
          <w:sz w:val="20"/>
          <w:szCs w:val="20"/>
        </w:rPr>
      </w:pPr>
      <w:r w:rsidRPr="006E2E45">
        <w:rPr>
          <w:rFonts w:ascii="Segoe UI" w:hAnsi="Segoe UI" w:eastAsiaTheme="minorEastAsia" w:cs="Segoe UI"/>
          <w:sz w:val="20"/>
          <w:szCs w:val="20"/>
        </w:rPr>
        <w:t>budov s celkovou energeticky vztažnou plochou menší než 50 m</w:t>
      </w:r>
      <w:r w:rsidRPr="006E2E45">
        <w:rPr>
          <w:rFonts w:ascii="Segoe UI" w:hAnsi="Segoe UI" w:eastAsiaTheme="minorEastAsia" w:cs="Segoe UI"/>
          <w:sz w:val="20"/>
          <w:szCs w:val="20"/>
          <w:vertAlign w:val="superscript"/>
        </w:rPr>
        <w:t>2</w:t>
      </w:r>
      <w:r w:rsidRPr="006E2E45">
        <w:rPr>
          <w:rFonts w:ascii="Segoe UI" w:hAnsi="Segoe UI" w:eastAsiaTheme="minorEastAsia" w:cs="Segoe UI"/>
          <w:sz w:val="20"/>
          <w:szCs w:val="20"/>
        </w:rPr>
        <w:t xml:space="preserve">, </w:t>
      </w:r>
    </w:p>
    <w:p w:rsidR="007C5AC0" w:rsidRPr="006E2E45" w:rsidP="006E2E45" w14:paraId="39ADA579" w14:textId="77777777">
      <w:pPr>
        <w:pStyle w:val="Default"/>
        <w:numPr>
          <w:ilvl w:val="0"/>
          <w:numId w:val="14"/>
        </w:numPr>
        <w:spacing w:after="240" w:line="276" w:lineRule="auto"/>
        <w:ind w:left="1418" w:hanging="142"/>
        <w:jc w:val="both"/>
        <w:rPr>
          <w:rFonts w:ascii="Segoe UI" w:hAnsi="Segoe UI" w:eastAsiaTheme="minorEastAsia" w:cs="Segoe UI"/>
          <w:sz w:val="20"/>
          <w:szCs w:val="20"/>
        </w:rPr>
      </w:pPr>
      <w:r w:rsidRPr="006E2E45">
        <w:rPr>
          <w:rFonts w:ascii="Segoe UI" w:hAnsi="Segoe UI" w:eastAsiaTheme="minorEastAsia" w:cs="Segoe UI"/>
          <w:sz w:val="20"/>
          <w:szCs w:val="20"/>
        </w:rPr>
        <w:t>skladů, průmyslových, výrobních provozů, dílenských provozoven se spotřebou energie do 195 MWh za rok, za podmínky, že Příjemce podpory tuto skutečnost prokazatelně doloží společně se Žádostí o podporu;</w:t>
      </w:r>
    </w:p>
    <w:p w:rsidR="007C5AC0" w:rsidRPr="006E2E45" w:rsidP="006E2E45" w14:paraId="55B1E381" w14:textId="77777777">
      <w:pPr>
        <w:pStyle w:val="Default"/>
        <w:numPr>
          <w:ilvl w:val="0"/>
          <w:numId w:val="14"/>
        </w:numPr>
        <w:spacing w:after="240" w:line="276" w:lineRule="auto"/>
        <w:ind w:left="1418" w:hanging="142"/>
        <w:jc w:val="both"/>
        <w:rPr>
          <w:rFonts w:ascii="Segoe UI" w:hAnsi="Segoe UI" w:eastAsiaTheme="minorEastAsia" w:cs="Segoe UI"/>
          <w:sz w:val="20"/>
          <w:szCs w:val="20"/>
        </w:rPr>
      </w:pPr>
      <w:r w:rsidRPr="006E2E45">
        <w:rPr>
          <w:rFonts w:ascii="Segoe UI" w:hAnsi="Segoe UI" w:eastAsiaTheme="minorEastAsia" w:cs="Segoe UI"/>
          <w:sz w:val="20"/>
          <w:szCs w:val="20"/>
        </w:rPr>
        <w:t>tzv. drobných staveb dle přílohy č. 1 zákona 283/2021 Sb. (stavební zákon), v platném znění.</w:t>
      </w:r>
    </w:p>
    <w:p w:rsidR="007C5AC0" w:rsidRPr="006E2E45" w:rsidP="006E2E45" w14:paraId="2471AFD2" w14:textId="77777777">
      <w:pPr>
        <w:pStyle w:val="ListParagraph"/>
        <w:tabs>
          <w:tab w:val="left" w:pos="1840"/>
        </w:tabs>
        <w:spacing w:after="240" w:line="276" w:lineRule="auto"/>
        <w:ind w:left="1418"/>
        <w:jc w:val="both"/>
        <w:rPr>
          <w:rFonts w:eastAsia="Calibri"/>
          <w:b/>
          <w:color w:val="000000"/>
          <w:sz w:val="20"/>
          <w:szCs w:val="20"/>
          <w:u w:val="single"/>
        </w:rPr>
      </w:pPr>
      <w:r w:rsidRPr="006E2E45">
        <w:rPr>
          <w:rFonts w:eastAsia="Calibri"/>
          <w:color w:val="000000"/>
          <w:sz w:val="20"/>
          <w:szCs w:val="20"/>
          <w:u w:val="single"/>
        </w:rPr>
        <w:t>Zajištění souladu s podmínkou a)</w:t>
      </w:r>
      <w:r w:rsidRPr="006E2E45">
        <w:rPr>
          <w:rFonts w:eastAsia="Calibri"/>
          <w:b/>
          <w:color w:val="000000"/>
          <w:sz w:val="20"/>
          <w:szCs w:val="20"/>
          <w:u w:val="single"/>
        </w:rPr>
        <w:t xml:space="preserve">: </w:t>
      </w:r>
    </w:p>
    <w:p w:rsidR="007C5AC0" w:rsidRPr="006E2E45" w:rsidP="006E2E45" w14:paraId="3872CA9B" w14:textId="77777777">
      <w:pPr>
        <w:pStyle w:val="ListParagraph"/>
        <w:tabs>
          <w:tab w:val="left" w:pos="1840"/>
        </w:tabs>
        <w:spacing w:after="240" w:line="276" w:lineRule="auto"/>
        <w:ind w:left="1418"/>
        <w:jc w:val="both"/>
        <w:rPr>
          <w:rFonts w:eastAsia="Calibri"/>
          <w:color w:val="000000" w:themeColor="text1"/>
          <w:sz w:val="20"/>
          <w:szCs w:val="20"/>
        </w:rPr>
      </w:pPr>
      <w:r w:rsidRPr="006E2E45">
        <w:rPr>
          <w:rFonts w:eastAsia="Calibri"/>
          <w:color w:val="000000" w:themeColor="text1"/>
          <w:sz w:val="20"/>
          <w:szCs w:val="20"/>
        </w:rPr>
        <w:t xml:space="preserve">Příjemce dotace, </w:t>
      </w:r>
      <w:r w:rsidRPr="006E2E45">
        <w:rPr>
          <w:rFonts w:eastAsiaTheme="minorEastAsia"/>
          <w:sz w:val="20"/>
          <w:szCs w:val="20"/>
          <w:u w:val="single"/>
        </w:rPr>
        <w:t>společně se žádostí o podporu,</w:t>
      </w:r>
      <w:r w:rsidRPr="006E2E45">
        <w:rPr>
          <w:rFonts w:eastAsiaTheme="minorEastAsia"/>
          <w:sz w:val="20"/>
          <w:szCs w:val="20"/>
        </w:rPr>
        <w:t xml:space="preserve"> </w:t>
      </w:r>
      <w:r w:rsidRPr="006E2E45">
        <w:rPr>
          <w:rFonts w:eastAsia="Calibri"/>
          <w:color w:val="000000" w:themeColor="text1"/>
          <w:sz w:val="20"/>
          <w:szCs w:val="20"/>
        </w:rPr>
        <w:t xml:space="preserve">předkládá energetický posudek dle vyhlášky č. 141/2021 Sb., o energetickém posudku a o údajích vedených v Systému monitoringu spotřeby energie, zpracovaný energetickým specialistou s příslušným oprávněním podle zákona č. 406/2000 Sb., o hospodaření energií, v platném znění. </w:t>
      </w:r>
    </w:p>
    <w:p w:rsidR="007C5AC0" w:rsidRPr="006E2E45" w:rsidP="006E2E45" w14:paraId="26D36271" w14:textId="77777777">
      <w:pPr>
        <w:tabs>
          <w:tab w:val="left" w:pos="1840"/>
        </w:tabs>
        <w:spacing w:after="240" w:line="276" w:lineRule="auto"/>
        <w:ind w:left="1276"/>
        <w:jc w:val="both"/>
        <w:rPr>
          <w:rFonts w:eastAsiaTheme="minorEastAsia"/>
          <w:b/>
          <w:bCs/>
          <w:sz w:val="20"/>
          <w:szCs w:val="20"/>
        </w:rPr>
      </w:pPr>
      <w:r w:rsidRPr="006E2E45">
        <w:rPr>
          <w:rFonts w:eastAsiaTheme="minorEastAsia"/>
          <w:b/>
          <w:bCs/>
          <w:sz w:val="20"/>
          <w:szCs w:val="20"/>
        </w:rPr>
        <w:t xml:space="preserve">V energetickém posudku budou uvedeny následující informace: </w:t>
      </w:r>
    </w:p>
    <w:p w:rsidR="007C5AC0" w:rsidRPr="006E2E45" w:rsidP="006E2E45" w14:paraId="1674637E" w14:textId="77777777">
      <w:pPr>
        <w:pStyle w:val="Default"/>
        <w:numPr>
          <w:ilvl w:val="0"/>
          <w:numId w:val="14"/>
        </w:numPr>
        <w:spacing w:after="240" w:line="276" w:lineRule="auto"/>
        <w:ind w:left="1276" w:firstLine="0"/>
        <w:jc w:val="both"/>
        <w:rPr>
          <w:rFonts w:ascii="Segoe UI" w:hAnsi="Segoe UI" w:eastAsiaTheme="minorEastAsia" w:cs="Segoe UI"/>
          <w:sz w:val="20"/>
          <w:szCs w:val="20"/>
        </w:rPr>
      </w:pPr>
      <w:r w:rsidRPr="006E2E45">
        <w:rPr>
          <w:rFonts w:ascii="Segoe UI" w:hAnsi="Segoe UI" w:eastAsiaTheme="minorEastAsia" w:cs="Segoe UI"/>
          <w:sz w:val="20"/>
          <w:szCs w:val="20"/>
        </w:rPr>
        <w:t xml:space="preserve">výchozí spotřeba primární energie z neobnovitelných zdrojů a spotřeba primární energie po renovaci obálky v MWh i GJ, a výše úspory primární energie v procentech, </w:t>
      </w:r>
    </w:p>
    <w:p w:rsidR="007C5AC0" w:rsidRPr="006E2E45" w:rsidP="006E2E45" w14:paraId="0A199578" w14:textId="77777777">
      <w:pPr>
        <w:pStyle w:val="Default"/>
        <w:numPr>
          <w:ilvl w:val="0"/>
          <w:numId w:val="14"/>
        </w:numPr>
        <w:spacing w:after="240" w:line="276" w:lineRule="auto"/>
        <w:ind w:left="1276" w:firstLine="0"/>
        <w:jc w:val="both"/>
        <w:rPr>
          <w:rFonts w:ascii="Segoe UI" w:hAnsi="Segoe UI" w:eastAsiaTheme="minorEastAsia" w:cs="Segoe UI"/>
          <w:sz w:val="20"/>
          <w:szCs w:val="20"/>
        </w:rPr>
      </w:pPr>
      <w:r w:rsidRPr="006E2E45">
        <w:rPr>
          <w:rFonts w:ascii="Segoe UI" w:hAnsi="Segoe UI" w:eastAsiaTheme="minorEastAsia" w:cs="Segoe UI"/>
          <w:sz w:val="20"/>
          <w:szCs w:val="20"/>
        </w:rPr>
        <w:t xml:space="preserve">v případě úspory primární energie vyšší nebo rovné 30 % bude výrokem energetického specialisty potvrzeno, že renovace obálky budovy povede k úspoře minimálně 30 % primární energie z neobnovitelných zdrojů. </w:t>
      </w:r>
    </w:p>
    <w:p w:rsidR="007C5AC0" w:rsidRPr="006E2E45" w:rsidP="006E2E45" w14:paraId="1287D505" w14:textId="77777777">
      <w:pPr>
        <w:pStyle w:val="Default"/>
        <w:numPr>
          <w:ilvl w:val="0"/>
          <w:numId w:val="14"/>
        </w:numPr>
        <w:spacing w:after="240" w:line="276" w:lineRule="auto"/>
        <w:ind w:left="1276" w:firstLine="0"/>
        <w:jc w:val="both"/>
        <w:rPr>
          <w:rFonts w:ascii="Segoe UI" w:hAnsi="Segoe UI" w:eastAsiaTheme="minorEastAsia" w:cs="Segoe UI"/>
          <w:sz w:val="20"/>
          <w:szCs w:val="20"/>
        </w:rPr>
      </w:pPr>
      <w:r w:rsidRPr="006E2E45">
        <w:rPr>
          <w:rFonts w:ascii="Segoe UI" w:hAnsi="Segoe UI" w:eastAsiaTheme="minorEastAsia" w:cs="Segoe UI"/>
          <w:sz w:val="20"/>
          <w:szCs w:val="20"/>
        </w:rPr>
        <w:t>v případě dosažitelné úspory primární energie nižší než 30 % bude uveden důvod (důvody), proč není možné této úspory dosáhnout.</w:t>
      </w:r>
    </w:p>
    <w:p w:rsidR="0080480A" w:rsidRPr="006E2E45" w:rsidP="006E2E45" w14:paraId="0003CBAE" w14:textId="77777777">
      <w:pPr>
        <w:pStyle w:val="ListParagraph"/>
        <w:tabs>
          <w:tab w:val="left" w:pos="1840"/>
        </w:tabs>
        <w:spacing w:after="240" w:line="276" w:lineRule="auto"/>
        <w:ind w:left="1276"/>
        <w:jc w:val="both"/>
        <w:rPr>
          <w:rFonts w:eastAsia="Calibri"/>
          <w:color w:val="000000"/>
          <w:sz w:val="20"/>
          <w:szCs w:val="20"/>
        </w:rPr>
      </w:pPr>
      <w:r w:rsidRPr="006E2E45">
        <w:rPr>
          <w:rFonts w:eastAsiaTheme="minorEastAsia"/>
          <w:sz w:val="20"/>
          <w:szCs w:val="20"/>
          <w:u w:val="single"/>
        </w:rPr>
        <w:t>Nejpozději k termínu ukončení realizace projektu</w:t>
      </w:r>
      <w:r w:rsidRPr="006E2E45">
        <w:rPr>
          <w:rFonts w:eastAsiaTheme="minorEastAsia"/>
          <w:sz w:val="20"/>
          <w:szCs w:val="20"/>
        </w:rPr>
        <w:t xml:space="preserve"> </w:t>
      </w:r>
      <w:r w:rsidRPr="006E2E45">
        <w:rPr>
          <w:rFonts w:eastAsia="Calibri"/>
          <w:color w:val="000000" w:themeColor="text1"/>
          <w:sz w:val="20"/>
          <w:szCs w:val="20"/>
        </w:rPr>
        <w:t>předkládá</w:t>
      </w:r>
      <w:r w:rsidRPr="006E2E45">
        <w:rPr>
          <w:rFonts w:eastAsiaTheme="minorEastAsia"/>
          <w:sz w:val="20"/>
          <w:szCs w:val="20"/>
        </w:rPr>
        <w:t xml:space="preserve"> </w:t>
      </w:r>
      <w:r w:rsidRPr="006E2E45">
        <w:rPr>
          <w:rFonts w:eastAsia="Calibri"/>
          <w:color w:val="000000" w:themeColor="text1"/>
          <w:sz w:val="20"/>
          <w:szCs w:val="20"/>
        </w:rPr>
        <w:t xml:space="preserve">příjemce </w:t>
      </w:r>
      <w:r w:rsidRPr="006E2E45">
        <w:rPr>
          <w:rFonts w:eastAsiaTheme="minorEastAsia"/>
          <w:sz w:val="20"/>
          <w:szCs w:val="20"/>
        </w:rPr>
        <w:t>podpory</w:t>
      </w:r>
      <w:r w:rsidRPr="006E2E45">
        <w:rPr>
          <w:rFonts w:eastAsia="Calibri"/>
          <w:color w:val="000000" w:themeColor="text1"/>
          <w:sz w:val="20"/>
          <w:szCs w:val="20"/>
        </w:rPr>
        <w:t xml:space="preserve"> stanovisko zpracovatele energetického posudku, dle vzoru</w:t>
      </w:r>
      <w:r>
        <w:rPr>
          <w:rStyle w:val="FootnoteReference"/>
          <w:rFonts w:eastAsia="Calibri"/>
          <w:color w:val="000000" w:themeColor="text1"/>
          <w:sz w:val="20"/>
          <w:szCs w:val="20"/>
        </w:rPr>
        <w:footnoteReference w:id="5"/>
      </w:r>
      <w:r w:rsidRPr="006E2E45">
        <w:rPr>
          <w:rFonts w:eastAsia="Calibri"/>
          <w:color w:val="000000" w:themeColor="text1"/>
          <w:sz w:val="20"/>
          <w:szCs w:val="20"/>
        </w:rPr>
        <w:t xml:space="preserve"> </w:t>
      </w:r>
      <w:r w:rsidRPr="006E2E45">
        <w:rPr>
          <w:rFonts w:eastAsiaTheme="minorEastAsia"/>
          <w:sz w:val="20"/>
          <w:szCs w:val="20"/>
        </w:rPr>
        <w:t xml:space="preserve">zveřejněného </w:t>
      </w:r>
      <w:r w:rsidRPr="006E2E45">
        <w:rPr>
          <w:rFonts w:eastAsia="Calibri"/>
          <w:color w:val="000000" w:themeColor="text1"/>
          <w:sz w:val="20"/>
          <w:szCs w:val="20"/>
        </w:rPr>
        <w:t xml:space="preserve">na </w:t>
      </w:r>
      <w:hyperlink r:id="rId8" w:history="1">
        <w:r w:rsidRPr="006E2E45">
          <w:rPr>
            <w:rStyle w:val="Hyperlink"/>
            <w:rFonts w:eastAsia="Calibri"/>
            <w:sz w:val="20"/>
            <w:szCs w:val="20"/>
          </w:rPr>
          <w:t>www.opst.cz</w:t>
        </w:r>
      </w:hyperlink>
      <w:r w:rsidRPr="006E2E45">
        <w:rPr>
          <w:rFonts w:eastAsia="Calibri"/>
          <w:color w:val="000000" w:themeColor="text1"/>
          <w:sz w:val="20"/>
          <w:szCs w:val="20"/>
        </w:rPr>
        <w:t xml:space="preserve"> v sekci Ostatní dokumenty,</w:t>
      </w:r>
      <w:r w:rsidRPr="006E2E45">
        <w:rPr>
          <w:rFonts w:eastAsiaTheme="minorEastAsia"/>
          <w:sz w:val="20"/>
          <w:szCs w:val="20"/>
        </w:rPr>
        <w:t xml:space="preserve"> které potvrdí splnění předpokladů k plnění ukazatelů energetických úspor</w:t>
      </w:r>
      <w:r w:rsidRPr="006E2E45">
        <w:rPr>
          <w:rFonts w:eastAsia="Calibri"/>
          <w:color w:val="000000" w:themeColor="text1"/>
          <w:sz w:val="20"/>
          <w:szCs w:val="20"/>
        </w:rPr>
        <w:t>.</w:t>
      </w:r>
    </w:p>
    <w:p w:rsidR="007C5AC0" w:rsidRPr="006E2E45" w:rsidP="006E2E45" w14:paraId="2CA981CB" w14:textId="77777777">
      <w:pPr>
        <w:pStyle w:val="ListParagraph"/>
        <w:numPr>
          <w:ilvl w:val="0"/>
          <w:numId w:val="17"/>
        </w:numPr>
        <w:tabs>
          <w:tab w:val="left" w:pos="1840"/>
        </w:tabs>
        <w:spacing w:after="240" w:line="276" w:lineRule="auto"/>
        <w:jc w:val="both"/>
        <w:rPr>
          <w:sz w:val="20"/>
          <w:szCs w:val="20"/>
        </w:rPr>
      </w:pPr>
      <w:r w:rsidRPr="006E2E45">
        <w:rPr>
          <w:sz w:val="20"/>
          <w:szCs w:val="20"/>
        </w:rPr>
        <w:t>V rámci snižování energetické náročnosti technologických procesů musejí všechny nové spotřebiče splňovat nejvyšší dostupnou energetickou třídu dle příslušné legislativy pro daný typ spotřebiče.</w:t>
      </w:r>
    </w:p>
    <w:p w:rsidR="007C5AC0" w:rsidRPr="006E2E45" w:rsidP="006E2E45" w14:paraId="7DE50955" w14:textId="77777777">
      <w:pPr>
        <w:pStyle w:val="ListParagraph"/>
        <w:keepNext/>
        <w:tabs>
          <w:tab w:val="left" w:pos="1840"/>
        </w:tabs>
        <w:spacing w:after="240" w:line="276" w:lineRule="auto"/>
        <w:ind w:left="1429"/>
        <w:jc w:val="both"/>
        <w:rPr>
          <w:rFonts w:eastAsiaTheme="minorEastAsia"/>
          <w:sz w:val="20"/>
          <w:szCs w:val="20"/>
        </w:rPr>
      </w:pPr>
      <w:r w:rsidRPr="006E2E45">
        <w:rPr>
          <w:rFonts w:eastAsia="Calibri"/>
          <w:color w:val="000000" w:themeColor="text1"/>
          <w:sz w:val="20"/>
          <w:szCs w:val="20"/>
          <w:u w:val="single"/>
        </w:rPr>
        <w:t>Zajištění souladu s</w:t>
      </w:r>
      <w:r w:rsidRPr="006E2E45" w:rsidR="0080480A">
        <w:rPr>
          <w:rFonts w:eastAsia="Calibri"/>
          <w:color w:val="000000" w:themeColor="text1"/>
          <w:sz w:val="20"/>
          <w:szCs w:val="20"/>
          <w:u w:val="single"/>
        </w:rPr>
        <w:t xml:space="preserve"> touto </w:t>
      </w:r>
      <w:r w:rsidRPr="006E2E45">
        <w:rPr>
          <w:rFonts w:eastAsia="Calibri"/>
          <w:color w:val="000000" w:themeColor="text1"/>
          <w:sz w:val="20"/>
          <w:szCs w:val="20"/>
          <w:u w:val="single"/>
        </w:rPr>
        <w:t>podmínkou</w:t>
      </w:r>
      <w:r w:rsidRPr="006E2E45">
        <w:rPr>
          <w:rFonts w:eastAsiaTheme="minorEastAsia"/>
          <w:color w:val="000000" w:themeColor="text1"/>
          <w:sz w:val="20"/>
          <w:szCs w:val="20"/>
          <w:u w:val="single"/>
        </w:rPr>
        <w:t>:</w:t>
      </w:r>
      <w:r w:rsidRPr="006E2E45">
        <w:rPr>
          <w:rFonts w:eastAsiaTheme="minorEastAsia"/>
          <w:color w:val="000000" w:themeColor="text1"/>
          <w:sz w:val="20"/>
          <w:szCs w:val="20"/>
        </w:rPr>
        <w:t xml:space="preserve"> </w:t>
      </w:r>
    </w:p>
    <w:p w:rsidR="007C5AC0" w:rsidRPr="006E2E45" w:rsidP="006E2E45" w14:paraId="56A3FF92" w14:textId="77777777">
      <w:pPr>
        <w:pStyle w:val="ListParagraph"/>
        <w:tabs>
          <w:tab w:val="left" w:pos="1840"/>
        </w:tabs>
        <w:spacing w:after="240" w:line="276" w:lineRule="auto"/>
        <w:ind w:left="1429"/>
        <w:jc w:val="both"/>
        <w:rPr>
          <w:rFonts w:eastAsia="Calibri"/>
          <w:color w:val="000000"/>
          <w:sz w:val="20"/>
          <w:szCs w:val="20"/>
        </w:rPr>
      </w:pPr>
      <w:r w:rsidRPr="006E2E45">
        <w:rPr>
          <w:rFonts w:eastAsia="Calibri"/>
          <w:color w:val="000000" w:themeColor="text1"/>
          <w:sz w:val="20"/>
          <w:szCs w:val="20"/>
        </w:rPr>
        <w:t xml:space="preserve">Příjemce dotace musí být v případě kontroly na místě schopen předložit relevantní dokumentaci prokazující splnění podmínky v případě, že se jedná o energetickou třídu A, žadatel srovnání nedokládá; v případě, že se jedná o nižší energetickou třídu, žadatel dokládá záznam o průzkumu trhu se spotřebiči obdobných typových a technických specifikací.  </w:t>
      </w:r>
    </w:p>
    <w:p w:rsidR="007C5AC0" w:rsidP="006E2E45" w14:paraId="6C9065AB" w14:textId="77777777">
      <w:pPr>
        <w:pStyle w:val="ListParagraph"/>
        <w:widowControl/>
        <w:numPr>
          <w:ilvl w:val="0"/>
          <w:numId w:val="17"/>
        </w:numPr>
        <w:tabs>
          <w:tab w:val="left" w:pos="1840"/>
        </w:tabs>
        <w:autoSpaceDE/>
        <w:autoSpaceDN/>
        <w:spacing w:after="240" w:line="276" w:lineRule="auto"/>
        <w:jc w:val="both"/>
        <w:rPr>
          <w:rFonts w:eastAsiaTheme="minorEastAsia"/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 xml:space="preserve">V případě realizace výměny/rekonstrukce zdroje tepla na vytápění musí budova po realizaci projektu plnit minimálně parametry energetické náročnosti definované § 6 odst. 2 vyhlášky č. 264/2020 Sb., o energetické náročnosti budov, v platném znění. Tento požadavek se netýká památkově chráněných budov v souladu s § 7 odst. 5 zákona č. 406/2000 Sb., o hospodaření energií, v platném znění. </w:t>
      </w:r>
    </w:p>
    <w:p w:rsidR="00727499" w:rsidP="00727499" w14:paraId="7A9944F5" w14:textId="77777777">
      <w:pPr>
        <w:widowControl/>
        <w:tabs>
          <w:tab w:val="left" w:pos="1840"/>
        </w:tabs>
        <w:autoSpaceDE/>
        <w:autoSpaceDN/>
        <w:spacing w:after="240" w:line="276" w:lineRule="auto"/>
        <w:ind w:left="568"/>
        <w:jc w:val="both"/>
        <w:rPr>
          <w:rFonts w:eastAsiaTheme="minorEastAsia"/>
          <w:sz w:val="20"/>
          <w:szCs w:val="20"/>
        </w:rPr>
      </w:pPr>
    </w:p>
    <w:p w:rsidR="00727499" w:rsidRPr="00727499" w:rsidP="00727499" w14:paraId="64F76450" w14:textId="77777777">
      <w:pPr>
        <w:widowControl/>
        <w:tabs>
          <w:tab w:val="left" w:pos="1840"/>
        </w:tabs>
        <w:autoSpaceDE/>
        <w:autoSpaceDN/>
        <w:spacing w:after="240" w:line="276" w:lineRule="auto"/>
        <w:ind w:left="568"/>
        <w:jc w:val="both"/>
        <w:rPr>
          <w:rFonts w:eastAsiaTheme="minorEastAsia"/>
          <w:sz w:val="20"/>
          <w:szCs w:val="20"/>
        </w:rPr>
      </w:pPr>
    </w:p>
    <w:p w:rsidR="007C5AC0" w:rsidRPr="006E2E45" w:rsidP="006E2E45" w14:paraId="01D02DE7" w14:textId="77777777">
      <w:pPr>
        <w:pStyle w:val="ListParagraph"/>
        <w:tabs>
          <w:tab w:val="left" w:pos="1840"/>
        </w:tabs>
        <w:spacing w:after="240" w:line="276" w:lineRule="auto"/>
        <w:ind w:left="1418"/>
        <w:jc w:val="both"/>
        <w:rPr>
          <w:rFonts w:eastAsia="Calibri"/>
          <w:color w:val="000000" w:themeColor="text1"/>
          <w:sz w:val="20"/>
          <w:szCs w:val="20"/>
          <w:u w:val="single"/>
        </w:rPr>
      </w:pPr>
      <w:r w:rsidRPr="006E2E45">
        <w:rPr>
          <w:rFonts w:eastAsia="Calibri"/>
          <w:color w:val="000000" w:themeColor="text1"/>
          <w:sz w:val="20"/>
          <w:szCs w:val="20"/>
          <w:u w:val="single"/>
        </w:rPr>
        <w:t xml:space="preserve">Zajištění souladu s podmínkou c): </w:t>
      </w:r>
    </w:p>
    <w:p w:rsidR="007C5AC0" w:rsidRPr="006E2E45" w:rsidP="006E2E45" w14:paraId="2A7DAC6B" w14:textId="77777777">
      <w:pPr>
        <w:pStyle w:val="ListParagraph"/>
        <w:keepNext/>
        <w:spacing w:after="240" w:line="276" w:lineRule="auto"/>
        <w:ind w:left="1418"/>
        <w:jc w:val="both"/>
        <w:rPr>
          <w:rFonts w:eastAsiaTheme="minorEastAsia"/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 xml:space="preserve">Příjemce dotace předkládá k žádosti o podporu průkaz energetické náročnosti budovy (PENB) dle vyhlášky č. 264/2020 Sb., o energické náročnosti budov, v platném znění, pro stav po realizaci projektu. </w:t>
      </w:r>
    </w:p>
    <w:p w:rsidR="007C5AC0" w:rsidRPr="006E2E45" w:rsidP="006E2E45" w14:paraId="324C52E0" w14:textId="77777777">
      <w:pPr>
        <w:pStyle w:val="ListParagraph"/>
        <w:widowControl/>
        <w:numPr>
          <w:ilvl w:val="0"/>
          <w:numId w:val="17"/>
        </w:numPr>
        <w:autoSpaceDE/>
        <w:autoSpaceDN/>
        <w:spacing w:after="240" w:line="276" w:lineRule="auto"/>
        <w:contextualSpacing/>
        <w:jc w:val="both"/>
        <w:rPr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>Z </w:t>
      </w:r>
      <w:r w:rsidRPr="006E2E45" w:rsidR="004F3246">
        <w:rPr>
          <w:rFonts w:eastAsiaTheme="minorEastAsia"/>
          <w:sz w:val="20"/>
          <w:szCs w:val="20"/>
        </w:rPr>
        <w:t>Výzvy</w:t>
      </w:r>
      <w:r w:rsidRPr="006E2E45">
        <w:rPr>
          <w:rFonts w:eastAsiaTheme="minorEastAsia"/>
          <w:sz w:val="20"/>
          <w:szCs w:val="20"/>
        </w:rPr>
        <w:t xml:space="preserve"> lze podporovat instalaci zařízení využívajících vodu (sprchy, vany, WC atd.) pouze za těchto podmínek:</w:t>
      </w:r>
    </w:p>
    <w:p w:rsidR="007C5AC0" w:rsidRPr="006E2E45" w:rsidP="006E2E45" w14:paraId="3514293A" w14:textId="77777777">
      <w:pPr>
        <w:pStyle w:val="ListParagraph"/>
        <w:widowControl/>
        <w:numPr>
          <w:ilvl w:val="0"/>
          <w:numId w:val="12"/>
        </w:numPr>
        <w:tabs>
          <w:tab w:val="left" w:pos="1840"/>
        </w:tabs>
        <w:autoSpaceDE/>
        <w:autoSpaceDN/>
        <w:spacing w:after="240" w:line="276" w:lineRule="auto"/>
        <w:ind w:left="1418" w:firstLine="0"/>
        <w:jc w:val="both"/>
        <w:rPr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>sprchy mají maximální průtok vody 8 l/min;</w:t>
      </w:r>
    </w:p>
    <w:p w:rsidR="007C5AC0" w:rsidRPr="006E2E45" w:rsidP="006E2E45" w14:paraId="617E6558" w14:textId="77777777">
      <w:pPr>
        <w:pStyle w:val="ListParagraph"/>
        <w:widowControl/>
        <w:numPr>
          <w:ilvl w:val="0"/>
          <w:numId w:val="12"/>
        </w:numPr>
        <w:tabs>
          <w:tab w:val="left" w:pos="1840"/>
        </w:tabs>
        <w:autoSpaceDE/>
        <w:autoSpaceDN/>
        <w:spacing w:after="240" w:line="276" w:lineRule="auto"/>
        <w:ind w:left="1418" w:firstLine="0"/>
        <w:jc w:val="both"/>
        <w:rPr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>WC, zahrnující soupravy, mísy a splachovací nádrže, mají úplný objem splachovací vody maximálně 6 l. a maximální průměrný objem splachovací vody 3,5l;</w:t>
      </w:r>
    </w:p>
    <w:p w:rsidR="007C5AC0" w:rsidRPr="006E2E45" w:rsidP="006E2E45" w14:paraId="4902C18D" w14:textId="77777777">
      <w:pPr>
        <w:pStyle w:val="ListParagraph"/>
        <w:widowControl/>
        <w:numPr>
          <w:ilvl w:val="0"/>
          <w:numId w:val="12"/>
        </w:numPr>
        <w:tabs>
          <w:tab w:val="left" w:pos="1840"/>
        </w:tabs>
        <w:autoSpaceDE/>
        <w:autoSpaceDN/>
        <w:spacing w:after="240" w:line="276" w:lineRule="auto"/>
        <w:ind w:left="1418" w:firstLine="0"/>
        <w:jc w:val="both"/>
        <w:rPr>
          <w:rFonts w:eastAsiaTheme="minorEastAsia"/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>pisoáry spotřebují maximálně 2 l/mísu/hodinu. Splachovací pisoáry mají maximální úplný objem splachovací vody 1 l;</w:t>
      </w:r>
    </w:p>
    <w:p w:rsidR="007C5AC0" w:rsidRPr="006E2E45" w:rsidP="006E2E45" w14:paraId="09C81D3C" w14:textId="77777777">
      <w:pPr>
        <w:pStyle w:val="ListParagraph"/>
        <w:widowControl/>
        <w:numPr>
          <w:ilvl w:val="0"/>
          <w:numId w:val="12"/>
        </w:numPr>
        <w:tabs>
          <w:tab w:val="left" w:pos="1840"/>
        </w:tabs>
        <w:autoSpaceDE/>
        <w:autoSpaceDN/>
        <w:spacing w:after="240" w:line="276" w:lineRule="auto"/>
        <w:ind w:left="1418" w:firstLine="0"/>
        <w:jc w:val="both"/>
        <w:rPr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>umyvadlové baterie a kuchyňské baterie mají maximální průtok 6 l/min.</w:t>
      </w:r>
    </w:p>
    <w:p w:rsidR="004F38AD" w:rsidRPr="006E2E45" w:rsidP="006E2E45" w14:paraId="5D16468F" w14:textId="77777777">
      <w:pPr>
        <w:pStyle w:val="ListParagraph"/>
        <w:widowControl/>
        <w:numPr>
          <w:ilvl w:val="0"/>
          <w:numId w:val="17"/>
        </w:numPr>
        <w:autoSpaceDE/>
        <w:autoSpaceDN/>
        <w:adjustRightInd w:val="0"/>
        <w:spacing w:line="276" w:lineRule="auto"/>
        <w:contextualSpacing/>
        <w:jc w:val="both"/>
        <w:rPr>
          <w:rFonts w:eastAsiaTheme="minorHAnsi"/>
          <w:color w:val="000000"/>
          <w:sz w:val="20"/>
          <w:szCs w:val="20"/>
        </w:rPr>
      </w:pPr>
      <w:r w:rsidRPr="006E2E45">
        <w:rPr>
          <w:rFonts w:eastAsiaTheme="minorEastAsia"/>
          <w:sz w:val="20"/>
          <w:szCs w:val="20"/>
        </w:rPr>
        <w:t>Při výsadbě zeleně se použijí pouze stanovištně vhodné dřeviny, které zajistí odolnost vůči klimatu a zároveň nebudou mít negativní dopad z pohledu biologické rozmanitosti.</w:t>
      </w:r>
    </w:p>
    <w:p w:rsidR="006E2E45" w:rsidRPr="006E2E45" w:rsidP="006E2E45" w14:paraId="3A9DCBE5" w14:textId="77777777">
      <w:pPr>
        <w:pStyle w:val="ListParagraph"/>
        <w:widowControl/>
        <w:autoSpaceDE/>
        <w:autoSpaceDN/>
        <w:adjustRightInd w:val="0"/>
        <w:spacing w:line="276" w:lineRule="auto"/>
        <w:ind w:left="928"/>
        <w:contextualSpacing/>
        <w:jc w:val="both"/>
        <w:rPr>
          <w:rFonts w:eastAsiaTheme="minorHAnsi"/>
          <w:color w:val="000000"/>
          <w:sz w:val="20"/>
          <w:szCs w:val="20"/>
        </w:rPr>
      </w:pPr>
    </w:p>
    <w:p w:rsidR="006E2E45" w:rsidRPr="00727499" w:rsidP="006E2E45" w14:paraId="52A3D1E7" w14:textId="77777777">
      <w:pPr>
        <w:pStyle w:val="ListParagraph"/>
        <w:widowControl/>
        <w:numPr>
          <w:ilvl w:val="0"/>
          <w:numId w:val="17"/>
        </w:numPr>
        <w:autoSpaceDE/>
        <w:autoSpaceDN/>
        <w:adjustRightInd w:val="0"/>
        <w:spacing w:line="276" w:lineRule="auto"/>
        <w:contextualSpacing/>
        <w:jc w:val="both"/>
        <w:rPr>
          <w:rFonts w:eastAsiaTheme="minorHAnsi"/>
          <w:color w:val="000000"/>
          <w:sz w:val="20"/>
          <w:szCs w:val="20"/>
        </w:rPr>
      </w:pPr>
      <w:r w:rsidRPr="006E2E45">
        <w:rPr>
          <w:rFonts w:eastAsiaTheme="minorHAnsi"/>
          <w:color w:val="000000"/>
          <w:sz w:val="20"/>
          <w:szCs w:val="20"/>
        </w:rPr>
        <w:t xml:space="preserve">V případě podpory bateriové akumulace pro obnovitelné zdroje energie jsou z podpory vyloučeny technologie na bázi olova, NiCd a NiMH, které by mohly způsobovat škody na životním prostředí. </w:t>
      </w:r>
    </w:p>
    <w:p w:rsidR="006E2E45" w:rsidRPr="006E2E45" w:rsidP="006E2E45" w14:paraId="71B87038" w14:textId="77777777">
      <w:pPr>
        <w:pStyle w:val="ListParagraph"/>
        <w:widowControl/>
        <w:autoSpaceDE/>
        <w:autoSpaceDN/>
        <w:adjustRightInd w:val="0"/>
        <w:spacing w:line="276" w:lineRule="auto"/>
        <w:ind w:left="928"/>
        <w:contextualSpacing/>
        <w:jc w:val="both"/>
        <w:rPr>
          <w:rFonts w:eastAsiaTheme="minorHAnsi"/>
          <w:color w:val="000000"/>
          <w:sz w:val="20"/>
          <w:szCs w:val="20"/>
        </w:rPr>
      </w:pPr>
    </w:p>
    <w:p w:rsidR="00854D69" w:rsidP="006E2E45" w14:paraId="4BB6045C" w14:textId="77777777">
      <w:pPr>
        <w:pStyle w:val="ListParagraph"/>
        <w:widowControl/>
        <w:numPr>
          <w:ilvl w:val="0"/>
          <w:numId w:val="17"/>
        </w:numPr>
        <w:autoSpaceDE/>
        <w:autoSpaceDN/>
        <w:adjustRightInd w:val="0"/>
        <w:spacing w:line="276" w:lineRule="auto"/>
        <w:contextualSpacing/>
        <w:jc w:val="both"/>
        <w:rPr>
          <w:rFonts w:eastAsiaTheme="minorHAnsi"/>
          <w:color w:val="000000"/>
          <w:sz w:val="20"/>
          <w:szCs w:val="20"/>
        </w:rPr>
      </w:pPr>
      <w:r w:rsidRPr="006E2E45">
        <w:rPr>
          <w:rFonts w:eastAsiaTheme="minorHAnsi"/>
          <w:color w:val="000000"/>
          <w:sz w:val="20"/>
          <w:szCs w:val="20"/>
        </w:rPr>
        <w:t xml:space="preserve">Při podpoře kotlů na biomasu je podpora poskytována: V souladu s kritérii udržitelnosti a úspor emisí skleníkových plynů stanovenými v článku 29 směrnice (EU) 2018/2001 o podpoře využívání energie z obnovitelných zdrojů („směrnice o obnovitelných zdrojích energie“, „RED II“). Tyto požadavky se budou vztahovat na všechna zařízení bez ohledu na prahové hodnoty uvedené ve směrnici RED II.  V souladu s posouzením trajektorií udržitelného využívání bioenergie a dodávek biomasy v Česku a jeho dopadů na využití půdy, změny ve využití půdy, lesní propady uhlíku a biologickou rozmanitost, jakož i vlivu na kvalitu ovzduší. Plnit alespoň 80 % úspor emisí skleníkových plynů, která je obecně splněna s ohledem na typ palivového přechodu na biomasu. </w:t>
      </w:r>
    </w:p>
    <w:p w:rsidR="006E2E45" w:rsidRPr="006E2E45" w:rsidP="006E2E45" w14:paraId="20D22C8B" w14:textId="77777777">
      <w:pPr>
        <w:pStyle w:val="ListParagraph"/>
        <w:widowControl/>
        <w:autoSpaceDE/>
        <w:autoSpaceDN/>
        <w:adjustRightInd w:val="0"/>
        <w:spacing w:line="276" w:lineRule="auto"/>
        <w:ind w:left="928"/>
        <w:contextualSpacing/>
        <w:jc w:val="both"/>
        <w:rPr>
          <w:rFonts w:eastAsiaTheme="minorHAnsi"/>
          <w:color w:val="000000"/>
          <w:sz w:val="20"/>
          <w:szCs w:val="20"/>
        </w:rPr>
      </w:pPr>
    </w:p>
    <w:p w:rsidR="006E2E45" w:rsidRPr="00727499" w:rsidP="006E2E45" w14:paraId="3A039249" w14:textId="77777777">
      <w:pPr>
        <w:pStyle w:val="ListParagraph"/>
        <w:widowControl/>
        <w:numPr>
          <w:ilvl w:val="0"/>
          <w:numId w:val="17"/>
        </w:numPr>
        <w:autoSpaceDE/>
        <w:autoSpaceDN/>
        <w:adjustRightInd w:val="0"/>
        <w:spacing w:line="276" w:lineRule="auto"/>
        <w:contextualSpacing/>
        <w:jc w:val="both"/>
        <w:rPr>
          <w:rFonts w:eastAsiaTheme="minorHAnsi"/>
          <w:color w:val="000000"/>
          <w:sz w:val="20"/>
          <w:szCs w:val="20"/>
        </w:rPr>
      </w:pPr>
      <w:r w:rsidRPr="006E2E45">
        <w:rPr>
          <w:rFonts w:eastAsiaTheme="minorHAnsi"/>
          <w:color w:val="000000"/>
          <w:sz w:val="20"/>
          <w:szCs w:val="20"/>
        </w:rPr>
        <w:t>Pro rekonstrukce a stavbu nových budov platí, že projekt není realizován v záplavovém území Q100 s výjimkou případů, kdy pro danou lokalitu prokazatelně existují dostatečná protipovodňová opatření.</w:t>
      </w:r>
    </w:p>
    <w:p w:rsidR="006E2E45" w:rsidRPr="006E2E45" w:rsidP="006E2E45" w14:paraId="360FC06E" w14:textId="77777777">
      <w:pPr>
        <w:pStyle w:val="ListParagraph"/>
        <w:widowControl/>
        <w:autoSpaceDE/>
        <w:autoSpaceDN/>
        <w:adjustRightInd w:val="0"/>
        <w:spacing w:line="276" w:lineRule="auto"/>
        <w:ind w:left="928"/>
        <w:contextualSpacing/>
        <w:jc w:val="both"/>
        <w:rPr>
          <w:rFonts w:eastAsiaTheme="minorHAnsi"/>
          <w:color w:val="000000"/>
          <w:sz w:val="20"/>
          <w:szCs w:val="20"/>
        </w:rPr>
      </w:pPr>
    </w:p>
    <w:p w:rsidR="006D779E" w:rsidRPr="00FA0B8B" w:rsidP="006E2E45" w14:paraId="1556017F" w14:textId="77777777">
      <w:pPr>
        <w:pStyle w:val="ListParagraph"/>
        <w:widowControl/>
        <w:numPr>
          <w:ilvl w:val="0"/>
          <w:numId w:val="17"/>
        </w:numPr>
        <w:autoSpaceDE/>
        <w:autoSpaceDN/>
        <w:adjustRightInd w:val="0"/>
        <w:spacing w:line="276" w:lineRule="auto"/>
        <w:contextualSpacing/>
        <w:jc w:val="both"/>
        <w:rPr>
          <w:sz w:val="20"/>
          <w:szCs w:val="20"/>
        </w:rPr>
      </w:pPr>
      <w:r w:rsidRPr="006E2E45">
        <w:rPr>
          <w:sz w:val="20"/>
          <w:szCs w:val="20"/>
        </w:rPr>
        <w:t>V případě, že v rámci projektu (rekonstrukce a stavba nových budov) dochází k využití vodních zdrojů a lokalita není napojena na veřejný vodovod, žadatel prokáže, že nečerpá povrchovou, podzemní nebo srážkovou vodu v rizikových oblastech</w:t>
      </w:r>
      <w:r w:rsidR="00727499">
        <w:rPr>
          <w:sz w:val="20"/>
          <w:szCs w:val="20"/>
        </w:rPr>
        <w:t>,</w:t>
      </w:r>
      <w:r w:rsidRPr="006E2E45" w:rsidR="000B1C39">
        <w:rPr>
          <w:sz w:val="20"/>
          <w:szCs w:val="20"/>
        </w:rPr>
        <w:t xml:space="preserve"> </w:t>
      </w:r>
      <w:r w:rsidR="00727499">
        <w:rPr>
          <w:sz w:val="20"/>
          <w:szCs w:val="20"/>
        </w:rPr>
        <w:t>v</w:t>
      </w:r>
      <w:r w:rsidRPr="006E2E45" w:rsidR="000B1C39">
        <w:rPr>
          <w:sz w:val="20"/>
          <w:szCs w:val="20"/>
        </w:rPr>
        <w:t>iz př</w:t>
      </w:r>
      <w:r w:rsidRPr="006E2E45" w:rsidR="000B1C39">
        <w:rPr>
          <w:sz w:val="20"/>
          <w:szCs w:val="20"/>
          <w:lang w:eastAsia="cs-CZ"/>
        </w:rPr>
        <w:t>íloha č. 10 Výzvy.</w:t>
      </w:r>
    </w:p>
    <w:p w:rsidR="00920B5F" w:rsidRPr="00191E17" w:rsidP="004F38AD" w14:paraId="1F842E32" w14:textId="77777777">
      <w:pPr>
        <w:ind w:left="113"/>
        <w:jc w:val="both"/>
        <w:rPr>
          <w:sz w:val="20"/>
          <w:szCs w:val="20"/>
        </w:rPr>
      </w:pPr>
    </w:p>
    <w:sectPr>
      <w:pgSz w:w="11910" w:h="16840"/>
      <w:pgMar w:top="600" w:right="960" w:bottom="28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hnSans Text Pro">
    <w:altName w:val="Calibri"/>
    <w:panose1 w:val="00000000000000000000"/>
    <w:charset w:val="00"/>
    <w:family w:val="modern"/>
    <w:notTrueType/>
    <w:pitch w:val="variable"/>
    <w:sig w:usb0="A00000AF" w:usb1="5000206A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D203BB" w:rsidP="007C5AC0" w14:paraId="41F3DA48" w14:textId="77777777">
      <w:r>
        <w:separator/>
      </w:r>
    </w:p>
  </w:footnote>
  <w:footnote w:type="continuationSeparator" w:id="1">
    <w:p w:rsidR="00D203BB" w:rsidP="007C5AC0" w14:paraId="6CF8B712" w14:textId="77777777">
      <w:r>
        <w:continuationSeparator/>
      </w:r>
    </w:p>
  </w:footnote>
  <w:footnote w:id="2">
    <w:p w:rsidR="007C5AC0" w:rsidRPr="0064671F" w:rsidP="007C5AC0" w14:paraId="3E6A0716" w14:textId="77777777">
      <w:pPr>
        <w:pStyle w:val="FootnoteText"/>
        <w:spacing w:line="240" w:lineRule="auto"/>
        <w:rPr>
          <w:rFonts w:ascii="Segoe UI" w:hAnsi="Segoe UI" w:cs="Segoe UI"/>
          <w:szCs w:val="18"/>
        </w:rPr>
      </w:pPr>
      <w:r w:rsidRPr="0064671F">
        <w:rPr>
          <w:rStyle w:val="FootnoteReference"/>
          <w:rFonts w:ascii="Segoe UI" w:hAnsi="Segoe UI" w:cs="Segoe UI"/>
          <w:szCs w:val="18"/>
        </w:rPr>
        <w:footnoteRef/>
      </w:r>
      <w:r w:rsidRPr="0064671F">
        <w:rPr>
          <w:rFonts w:ascii="Segoe UI" w:hAnsi="Segoe UI" w:cs="Segoe UI"/>
          <w:szCs w:val="18"/>
        </w:rPr>
        <w:t xml:space="preserve"> </w:t>
      </w:r>
      <w:r w:rsidRPr="0064671F">
        <w:rPr>
          <w:rFonts w:ascii="Segoe UI" w:eastAsia="Arial" w:hAnsi="Segoe UI" w:cs="Segoe UI"/>
          <w:szCs w:val="18"/>
        </w:rPr>
        <w:t>Např. v rámci administrace žádosti, kontroly veřejných zakázek, administrace ŽoP, příp. během kontroly na místě.</w:t>
      </w:r>
    </w:p>
  </w:footnote>
  <w:footnote w:id="3">
    <w:p w:rsidR="007C5AC0" w:rsidP="007C5AC0" w14:paraId="049EAD63" w14:textId="7777777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4157F">
        <w:rPr>
          <w:rFonts w:ascii="Segoe UI" w:hAnsi="Segoe UI" w:cs="Segoe UI"/>
          <w:szCs w:val="18"/>
        </w:rPr>
        <w:t xml:space="preserve">Za nové budovy jsou považovány i </w:t>
      </w:r>
      <w:r>
        <w:rPr>
          <w:rFonts w:ascii="Segoe UI" w:hAnsi="Segoe UI" w:cs="Segoe UI"/>
          <w:szCs w:val="18"/>
        </w:rPr>
        <w:t xml:space="preserve">stavby typu </w:t>
      </w:r>
      <w:r w:rsidRPr="0014157F">
        <w:rPr>
          <w:rFonts w:ascii="Segoe UI" w:hAnsi="Segoe UI" w:cs="Segoe UI"/>
          <w:b/>
          <w:bCs/>
          <w:szCs w:val="18"/>
        </w:rPr>
        <w:t>přístavby a nástavby</w:t>
      </w:r>
      <w:r w:rsidRPr="0014157F">
        <w:rPr>
          <w:rFonts w:ascii="Segoe UI" w:hAnsi="Segoe UI" w:cs="Segoe UI"/>
          <w:szCs w:val="18"/>
        </w:rPr>
        <w:t xml:space="preserve">.  </w:t>
      </w:r>
    </w:p>
  </w:footnote>
  <w:footnote w:id="4">
    <w:p w:rsidR="007C5AC0" w:rsidP="007C5AC0" w14:paraId="566E7300" w14:textId="7777777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4157F">
        <w:rPr>
          <w:rFonts w:ascii="Segoe UI" w:hAnsi="Segoe UI" w:cs="Segoe UI"/>
          <w:szCs w:val="18"/>
        </w:rPr>
        <w:t>Výpočet „</w:t>
      </w:r>
      <w:r w:rsidRPr="0014157F">
        <w:rPr>
          <w:rFonts w:ascii="Segoe UI" w:hAnsi="Segoe UI" w:cs="Segoe UI"/>
          <w:b/>
          <w:bCs/>
          <w:szCs w:val="18"/>
        </w:rPr>
        <w:t>Primar energy demand</w:t>
      </w:r>
      <w:r w:rsidRPr="0014157F">
        <w:rPr>
          <w:rFonts w:ascii="Segoe UI" w:hAnsi="Segoe UI" w:cs="Segoe UI"/>
          <w:szCs w:val="18"/>
        </w:rPr>
        <w:t>“ dle</w:t>
      </w:r>
      <w:r>
        <w:rPr>
          <w:rFonts w:ascii="Segoe UI" w:hAnsi="Segoe UI" w:cs="Segoe UI"/>
          <w:szCs w:val="18"/>
        </w:rPr>
        <w:t xml:space="preserve"> </w:t>
      </w:r>
      <w:r w:rsidRPr="0014157F">
        <w:rPr>
          <w:rFonts w:ascii="Segoe UI" w:hAnsi="Segoe UI" w:cs="Segoe UI"/>
          <w:szCs w:val="18"/>
        </w:rPr>
        <w:t>DNSH (taxonomie), je nařízením Komise v přenesené pravomoci (EU)</w:t>
      </w:r>
      <w:r>
        <w:rPr>
          <w:rFonts w:ascii="Segoe UI" w:hAnsi="Segoe UI" w:cs="Segoe UI"/>
          <w:szCs w:val="18"/>
        </w:rPr>
        <w:t xml:space="preserve"> č</w:t>
      </w:r>
      <w:r w:rsidRPr="0014157F">
        <w:rPr>
          <w:rFonts w:ascii="Segoe UI" w:hAnsi="Segoe UI" w:cs="Segoe UI"/>
          <w:szCs w:val="18"/>
        </w:rPr>
        <w:t xml:space="preserve">. 244/2012 ze dne 16. ledna, kterým se doplňuje směrnice Evropského parlamentu a Rady 2010/31/EU o energetické náročnosti budov stanovením srovnávacího metodického rámce pro výpočet nákladově optimálních úrovní minimálních požadavků na energetickou náročnost budov a prvků budov, je implementována do legislativy ČR v rámci vyhlášky č. 264/2020 Sb. o energetické náročnosti budov, v platném znění, jako </w:t>
      </w:r>
      <w:r w:rsidRPr="0014157F">
        <w:rPr>
          <w:rFonts w:ascii="Segoe UI" w:hAnsi="Segoe UI" w:cs="Segoe UI"/>
          <w:b/>
          <w:bCs/>
          <w:szCs w:val="18"/>
        </w:rPr>
        <w:t>primární energie z neobnovitelných zdrojů</w:t>
      </w:r>
      <w:r>
        <w:rPr>
          <w:rFonts w:ascii="Segoe UI" w:hAnsi="Segoe UI" w:cs="Segoe UI"/>
          <w:b/>
          <w:bCs/>
          <w:szCs w:val="18"/>
        </w:rPr>
        <w:t>.</w:t>
      </w:r>
    </w:p>
  </w:footnote>
  <w:footnote w:id="5">
    <w:p w:rsidR="007C5AC0" w:rsidRPr="009647DB" w:rsidP="007C5AC0" w14:paraId="663E9E24" w14:textId="77777777">
      <w:pPr>
        <w:pStyle w:val="FootnoteText"/>
        <w:rPr>
          <w:rFonts w:ascii="Segoe UI" w:hAnsi="Segoe UI" w:cs="Segoe UI"/>
        </w:rPr>
      </w:pPr>
      <w:r w:rsidRPr="009647DB">
        <w:rPr>
          <w:rStyle w:val="FootnoteReference"/>
          <w:rFonts w:ascii="Segoe UI" w:hAnsi="Segoe UI" w:cs="Segoe UI"/>
        </w:rPr>
        <w:footnoteRef/>
      </w:r>
      <w:r w:rsidRPr="009647DB">
        <w:rPr>
          <w:rFonts w:ascii="Segoe UI" w:hAnsi="Segoe UI" w:cs="Segoe UI"/>
        </w:rPr>
        <w:t xml:space="preserve"> Netýká se projektů administrovaných dle kap. D.34 a D.35 PrŽaP. Pro tyto projekty je vzor stanoviska zpracovatele součástí dokumentace výzvy.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87532BF8"/>
    <w:multiLevelType w:val="hybridMultilevel"/>
    <w:tmpl w:val="FFFFFFFF"/>
    <w:lvl w:ilvl="0">
      <w:start w:val="1"/>
      <w:numFmt w:val="lowerLetter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">
    <w:nsid w:val="02F77FD7"/>
    <w:multiLevelType w:val="hybridMultilevel"/>
    <w:tmpl w:val="6130FB5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846300"/>
    <w:multiLevelType w:val="multilevel"/>
    <w:tmpl w:val="A86CE7D8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suff w:val="space"/>
      <w:lvlText w:val="%2."/>
      <w:lvlJc w:val="left"/>
      <w:pPr>
        <w:ind w:left="1789" w:hanging="360"/>
      </w:pPr>
    </w:lvl>
    <w:lvl w:ilvl="2">
      <w:start w:val="1"/>
      <w:numFmt w:val="lowerRoman"/>
      <w:suff w:val="space"/>
      <w:lvlText w:val="%3."/>
      <w:lvlJc w:val="right"/>
      <w:pPr>
        <w:ind w:left="2509" w:hanging="180"/>
      </w:pPr>
    </w:lvl>
    <w:lvl w:ilvl="3">
      <w:start w:val="1"/>
      <w:numFmt w:val="decimal"/>
      <w:suff w:val="space"/>
      <w:lvlText w:val="%4."/>
      <w:lvlJc w:val="left"/>
      <w:pPr>
        <w:ind w:left="3229" w:hanging="360"/>
      </w:pPr>
    </w:lvl>
    <w:lvl w:ilvl="4">
      <w:start w:val="1"/>
      <w:numFmt w:val="lowerLetter"/>
      <w:suff w:val="space"/>
      <w:lvlText w:val="%5."/>
      <w:lvlJc w:val="left"/>
      <w:pPr>
        <w:ind w:left="3949" w:hanging="360"/>
      </w:pPr>
    </w:lvl>
    <w:lvl w:ilvl="5">
      <w:start w:val="1"/>
      <w:numFmt w:val="lowerRoman"/>
      <w:suff w:val="space"/>
      <w:lvlText w:val="%6."/>
      <w:lvlJc w:val="right"/>
      <w:pPr>
        <w:ind w:left="4669" w:hanging="180"/>
      </w:pPr>
    </w:lvl>
    <w:lvl w:ilvl="6">
      <w:start w:val="1"/>
      <w:numFmt w:val="decimal"/>
      <w:suff w:val="space"/>
      <w:lvlText w:val="%7."/>
      <w:lvlJc w:val="left"/>
      <w:pPr>
        <w:ind w:left="5389" w:hanging="360"/>
      </w:pPr>
    </w:lvl>
    <w:lvl w:ilvl="7">
      <w:start w:val="1"/>
      <w:numFmt w:val="lowerLetter"/>
      <w:suff w:val="space"/>
      <w:lvlText w:val="%8."/>
      <w:lvlJc w:val="left"/>
      <w:pPr>
        <w:ind w:left="6109" w:hanging="360"/>
      </w:pPr>
    </w:lvl>
    <w:lvl w:ilvl="8">
      <w:start w:val="1"/>
      <w:numFmt w:val="lowerRoman"/>
      <w:suff w:val="space"/>
      <w:lvlText w:val="%9."/>
      <w:lvlJc w:val="right"/>
      <w:pPr>
        <w:ind w:left="6829" w:hanging="180"/>
      </w:pPr>
    </w:lvl>
  </w:abstractNum>
  <w:abstractNum w:abstractNumId="3">
    <w:nsid w:val="21835E0C"/>
    <w:multiLevelType w:val="multilevel"/>
    <w:tmpl w:val="9B021156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bullet"/>
      <w:suff w:val="space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suff w:val="space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suff w:val="space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suff w:val="space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suff w:val="space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suff w:val="space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4">
    <w:nsid w:val="29513DDD"/>
    <w:multiLevelType w:val="multilevel"/>
    <w:tmpl w:val="F89C2938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suff w:val="space"/>
      <w:lvlText w:val="%2."/>
      <w:lvlJc w:val="left"/>
      <w:pPr>
        <w:ind w:left="1789" w:hanging="360"/>
      </w:pPr>
    </w:lvl>
    <w:lvl w:ilvl="2">
      <w:start w:val="1"/>
      <w:numFmt w:val="lowerRoman"/>
      <w:suff w:val="space"/>
      <w:lvlText w:val="%3."/>
      <w:lvlJc w:val="right"/>
      <w:pPr>
        <w:ind w:left="2509" w:hanging="180"/>
      </w:pPr>
    </w:lvl>
    <w:lvl w:ilvl="3">
      <w:start w:val="1"/>
      <w:numFmt w:val="decimal"/>
      <w:suff w:val="space"/>
      <w:lvlText w:val="%4."/>
      <w:lvlJc w:val="left"/>
      <w:pPr>
        <w:ind w:left="3229" w:hanging="360"/>
      </w:pPr>
    </w:lvl>
    <w:lvl w:ilvl="4">
      <w:start w:val="1"/>
      <w:numFmt w:val="lowerLetter"/>
      <w:suff w:val="space"/>
      <w:lvlText w:val="%5."/>
      <w:lvlJc w:val="left"/>
      <w:pPr>
        <w:ind w:left="3949" w:hanging="360"/>
      </w:pPr>
    </w:lvl>
    <w:lvl w:ilvl="5">
      <w:start w:val="1"/>
      <w:numFmt w:val="lowerRoman"/>
      <w:suff w:val="space"/>
      <w:lvlText w:val="%6."/>
      <w:lvlJc w:val="right"/>
      <w:pPr>
        <w:ind w:left="4669" w:hanging="180"/>
      </w:pPr>
    </w:lvl>
    <w:lvl w:ilvl="6">
      <w:start w:val="1"/>
      <w:numFmt w:val="decimal"/>
      <w:suff w:val="space"/>
      <w:lvlText w:val="%7."/>
      <w:lvlJc w:val="left"/>
      <w:pPr>
        <w:ind w:left="5389" w:hanging="360"/>
      </w:pPr>
    </w:lvl>
    <w:lvl w:ilvl="7">
      <w:start w:val="1"/>
      <w:numFmt w:val="lowerLetter"/>
      <w:suff w:val="space"/>
      <w:lvlText w:val="%8."/>
      <w:lvlJc w:val="left"/>
      <w:pPr>
        <w:ind w:left="6109" w:hanging="360"/>
      </w:pPr>
    </w:lvl>
    <w:lvl w:ilvl="8">
      <w:start w:val="1"/>
      <w:numFmt w:val="lowerRoman"/>
      <w:suff w:val="space"/>
      <w:lvlText w:val="%9."/>
      <w:lvlJc w:val="right"/>
      <w:pPr>
        <w:ind w:left="6829" w:hanging="180"/>
      </w:pPr>
    </w:lvl>
  </w:abstractNum>
  <w:abstractNum w:abstractNumId="5">
    <w:nsid w:val="2B510BD6"/>
    <w:multiLevelType w:val="hybridMultilevel"/>
    <w:tmpl w:val="48E85398"/>
    <w:lvl w:ilvl="0">
      <w:start w:val="23"/>
      <w:numFmt w:val="bullet"/>
      <w:lvlText w:val="-"/>
      <w:lvlJc w:val="left"/>
      <w:pPr>
        <w:ind w:left="720" w:hanging="360"/>
      </w:pPr>
      <w:rPr>
        <w:rFonts w:ascii="JohnSans Text Pro" w:eastAsia="Times New Roman" w:hAnsi="JohnSans Text Pro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340315"/>
    <w:multiLevelType w:val="multilevel"/>
    <w:tmpl w:val="D86E9136"/>
    <w:lvl w:ilvl="0">
      <w:start w:val="1"/>
      <w:numFmt w:val="decimal"/>
      <w:suff w:val="space"/>
      <w:lvlText w:val="%1."/>
      <w:lvlJc w:val="left"/>
      <w:pPr>
        <w:ind w:left="709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7">
    <w:nsid w:val="2D746E4E"/>
    <w:multiLevelType w:val="multilevel"/>
    <w:tmpl w:val="FAE026C8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bullet"/>
      <w:suff w:val="space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suff w:val="space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suff w:val="space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suff w:val="space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suff w:val="space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suff w:val="space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8">
    <w:nsid w:val="34E33527"/>
    <w:multiLevelType w:val="multilevel"/>
    <w:tmpl w:val="43D260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973269"/>
    <w:multiLevelType w:val="multilevel"/>
    <w:tmpl w:val="5C2EC3D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10">
    <w:nsid w:val="3AD07FFE"/>
    <w:multiLevelType w:val="hybridMultilevel"/>
    <w:tmpl w:val="00A2BE86"/>
    <w:lvl w:ilvl="0">
      <w:start w:val="1"/>
      <w:numFmt w:val="decimal"/>
      <w:lvlText w:val="%1)"/>
      <w:lvlJc w:val="left"/>
      <w:pPr>
        <w:ind w:left="1069" w:hanging="360"/>
      </w:p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6A31E68"/>
    <w:multiLevelType w:val="multilevel"/>
    <w:tmpl w:val="61BA782A"/>
    <w:lvl w:ilvl="0">
      <w:start w:val="1"/>
      <w:numFmt w:val="bullet"/>
      <w:suff w:val="space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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suff w:val="space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suff w:val="space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suff w:val="space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suff w:val="space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suff w:val="space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>
    <w:nsid w:val="55BF3FFC"/>
    <w:multiLevelType w:val="multilevel"/>
    <w:tmpl w:val="B9DEF0A0"/>
    <w:lvl w:ilvl="0">
      <w:start w:val="1"/>
      <w:numFmt w:val="lowerLetter"/>
      <w:lvlText w:val="%1)"/>
      <w:lvlJc w:val="left"/>
      <w:pPr>
        <w:ind w:left="709" w:hanging="360"/>
      </w:pPr>
    </w:lvl>
    <w:lvl w:ilvl="1">
      <w:start w:val="1"/>
      <w:numFmt w:val="bullet"/>
      <w:suff w:val="space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suff w:val="space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suff w:val="space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suff w:val="space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suff w:val="space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suff w:val="space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3">
    <w:nsid w:val="64973EFE"/>
    <w:multiLevelType w:val="multilevel"/>
    <w:tmpl w:val="E264D430"/>
    <w:lvl w:ilvl="0">
      <w:start w:val="1"/>
      <w:numFmt w:val="decimal"/>
      <w:lvlText w:val="%1)"/>
      <w:lvlJc w:val="left"/>
      <w:pPr>
        <w:ind w:left="709" w:hanging="360"/>
      </w:p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14">
    <w:nsid w:val="69023A39"/>
    <w:multiLevelType w:val="hybridMultilevel"/>
    <w:tmpl w:val="68445884"/>
    <w:lvl w:ilvl="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857D31"/>
    <w:multiLevelType w:val="multilevel"/>
    <w:tmpl w:val="3CFAAB6E"/>
    <w:lvl w:ilvl="0">
      <w:start w:val="1"/>
      <w:numFmt w:val="bullet"/>
      <w:suff w:val="space"/>
      <w:lvlText w:val=""/>
      <w:lvlJc w:val="left"/>
      <w:pPr>
        <w:ind w:left="783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943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103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6">
    <w:nsid w:val="76D111C6"/>
    <w:multiLevelType w:val="multilevel"/>
    <w:tmpl w:val="10C21FB2"/>
    <w:lvl w:ilvl="0">
      <w:start w:val="1"/>
      <w:numFmt w:val="lowerLetter"/>
      <w:lvlText w:val="%1)"/>
      <w:lvlJc w:val="left"/>
      <w:pPr>
        <w:ind w:left="709" w:hanging="357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178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suff w:val="space"/>
      <w:lvlText w:val="§"/>
      <w:lvlJc w:val="left"/>
      <w:pPr>
        <w:ind w:left="250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suff w:val="space"/>
      <w:lvlText w:val="·"/>
      <w:lvlJc w:val="left"/>
      <w:pPr>
        <w:ind w:left="3229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94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suff w:val="space"/>
      <w:lvlText w:val="§"/>
      <w:lvlJc w:val="left"/>
      <w:pPr>
        <w:ind w:left="466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suff w:val="space"/>
      <w:lvlText w:val="·"/>
      <w:lvlJc w:val="left"/>
      <w:pPr>
        <w:ind w:left="5389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610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suff w:val="space"/>
      <w:lvlText w:val="§"/>
      <w:lvlJc w:val="left"/>
      <w:pPr>
        <w:ind w:left="6829" w:hanging="360"/>
      </w:pPr>
      <w:rPr>
        <w:rFonts w:ascii="Wingdings" w:eastAsia="Wingdings" w:hAnsi="Wingdings" w:cs="Wingdings" w:hint="default"/>
      </w:rPr>
    </w:lvl>
  </w:abstractNum>
  <w:abstractNum w:abstractNumId="17">
    <w:nsid w:val="7AD35157"/>
    <w:multiLevelType w:val="hybridMultilevel"/>
    <w:tmpl w:val="5F6053EA"/>
    <w:lvl w:ilvl="0">
      <w:start w:val="60"/>
      <w:numFmt w:val="bullet"/>
      <w:lvlText w:val="-"/>
      <w:lvlJc w:val="left"/>
      <w:pPr>
        <w:ind w:left="644" w:hanging="360"/>
      </w:pPr>
      <w:rPr>
        <w:rFonts w:ascii="Segoe UI" w:eastAsia="Segoe UI" w:hAnsi="Segoe UI" w:cs="Segoe UI" w:hint="default"/>
      </w:rPr>
    </w:lvl>
    <w:lvl w:ilvl="1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7EA67A2D"/>
    <w:multiLevelType w:val="multilevel"/>
    <w:tmpl w:val="7F7C52C8"/>
    <w:lvl w:ilvl="0">
      <w:start w:val="8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60"/>
        </w:tabs>
        <w:ind w:left="1560" w:hanging="48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i w:val="0"/>
        <w:iCs w:val="0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8"/>
  </w:num>
  <w:num w:numId="2">
    <w:abstractNumId w:val="1"/>
  </w:num>
  <w:num w:numId="3">
    <w:abstractNumId w:val="5"/>
  </w:num>
  <w:num w:numId="4">
    <w:abstractNumId w:val="17"/>
  </w:num>
  <w:num w:numId="5">
    <w:abstractNumId w:val="12"/>
  </w:num>
  <w:num w:numId="6">
    <w:abstractNumId w:val="16"/>
  </w:num>
  <w:num w:numId="7">
    <w:abstractNumId w:val="3"/>
  </w:num>
  <w:num w:numId="8">
    <w:abstractNumId w:val="4"/>
  </w:num>
  <w:num w:numId="9">
    <w:abstractNumId w:val="13"/>
  </w:num>
  <w:num w:numId="10">
    <w:abstractNumId w:val="9"/>
  </w:num>
  <w:num w:numId="11">
    <w:abstractNumId w:val="6"/>
  </w:num>
  <w:num w:numId="12">
    <w:abstractNumId w:val="7"/>
  </w:num>
  <w:num w:numId="13">
    <w:abstractNumId w:val="15"/>
  </w:num>
  <w:num w:numId="14">
    <w:abstractNumId w:val="8"/>
  </w:num>
  <w:num w:numId="15">
    <w:abstractNumId w:val="11"/>
  </w:num>
  <w:num w:numId="16">
    <w:abstractNumId w:val="2"/>
  </w:num>
  <w:num w:numId="17">
    <w:abstractNumId w:val="14"/>
  </w:num>
  <w:num w:numId="18">
    <w:abstractNumId w:val="1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B5F"/>
    <w:rsid w:val="000311B4"/>
    <w:rsid w:val="00061E3F"/>
    <w:rsid w:val="00087A20"/>
    <w:rsid w:val="000B1C39"/>
    <w:rsid w:val="000B2AB0"/>
    <w:rsid w:val="000C2097"/>
    <w:rsid w:val="000E4D59"/>
    <w:rsid w:val="000F00E0"/>
    <w:rsid w:val="0014157F"/>
    <w:rsid w:val="0018209A"/>
    <w:rsid w:val="00191E17"/>
    <w:rsid w:val="002A2575"/>
    <w:rsid w:val="003163CA"/>
    <w:rsid w:val="00393E52"/>
    <w:rsid w:val="003C3FD0"/>
    <w:rsid w:val="003E6490"/>
    <w:rsid w:val="00400418"/>
    <w:rsid w:val="004136D6"/>
    <w:rsid w:val="004563EF"/>
    <w:rsid w:val="00492F18"/>
    <w:rsid w:val="004F3246"/>
    <w:rsid w:val="004F38AD"/>
    <w:rsid w:val="005323D3"/>
    <w:rsid w:val="005876A7"/>
    <w:rsid w:val="005B36E5"/>
    <w:rsid w:val="005E769A"/>
    <w:rsid w:val="0064671F"/>
    <w:rsid w:val="00670647"/>
    <w:rsid w:val="00681E34"/>
    <w:rsid w:val="006D779E"/>
    <w:rsid w:val="006E2E45"/>
    <w:rsid w:val="00727499"/>
    <w:rsid w:val="00795722"/>
    <w:rsid w:val="007C0636"/>
    <w:rsid w:val="007C4349"/>
    <w:rsid w:val="007C5AC0"/>
    <w:rsid w:val="007D27C0"/>
    <w:rsid w:val="0080480A"/>
    <w:rsid w:val="00814DDD"/>
    <w:rsid w:val="00854D69"/>
    <w:rsid w:val="008F0DB4"/>
    <w:rsid w:val="00920B5F"/>
    <w:rsid w:val="009647DB"/>
    <w:rsid w:val="009C75C2"/>
    <w:rsid w:val="009F72CD"/>
    <w:rsid w:val="00A5051C"/>
    <w:rsid w:val="00A70F09"/>
    <w:rsid w:val="00AA2E74"/>
    <w:rsid w:val="00AB15F1"/>
    <w:rsid w:val="00AF1632"/>
    <w:rsid w:val="00B1131F"/>
    <w:rsid w:val="00B11D01"/>
    <w:rsid w:val="00B16863"/>
    <w:rsid w:val="00B348B8"/>
    <w:rsid w:val="00BC0849"/>
    <w:rsid w:val="00BE3802"/>
    <w:rsid w:val="00CC05A3"/>
    <w:rsid w:val="00CF0333"/>
    <w:rsid w:val="00D203BB"/>
    <w:rsid w:val="00D3400D"/>
    <w:rsid w:val="00D631BF"/>
    <w:rsid w:val="00D64397"/>
    <w:rsid w:val="00D91EC1"/>
    <w:rsid w:val="00D96FA5"/>
    <w:rsid w:val="00DC38E9"/>
    <w:rsid w:val="00DE7DF9"/>
    <w:rsid w:val="00DF3B9F"/>
    <w:rsid w:val="00E42476"/>
    <w:rsid w:val="00EF6195"/>
    <w:rsid w:val="00F26988"/>
    <w:rsid w:val="00FA0B8B"/>
    <w:rsid w:val="00FB53C8"/>
    <w:rsid w:val="00FD4848"/>
  </w:rsids>
  <w:docVars>
    <w:docVar w:name="AnonymizaceNavrh"/>
    <w:docVar w:name="CelyZnak_PisemnostZnak" w:val="200.23.2"/>
    <w:docVar w:name="Cislo_PostaOdesPisemnostDokumentVerze_PostaOdesPisemnost" w:val="VÝTISK Č. ..."/>
    <w:docVar w:name="CJ" w:val="MZP/2026/320/325"/>
    <w:docVar w:name="CJ_PostaDoruc_PisemnostOdpovedNa_Pisemnost" w:val="XXX-XXX-XXX"/>
    <w:docVar w:name="CJ_Spis_Pisemnost" w:val="MZP/2026/320/266"/>
    <w:docVar w:name="Contact_PostaOdes" w:val="ADRESÁT...&#13;&#10;ADRESÁT..."/>
    <w:docVar w:name="Contact_PostaOdes_All" w:val="ROZDĚLOVNÍK..."/>
    <w:docVar w:name="DatumNaroz"/>
    <w:docVar w:name="DatumPlatnosti_PisemnostTypZpristupneniInformaciZOSZ_Pisemnost" w:val="ZOSZ_DatumPlatnosti"/>
    <w:docVar w:name="DatumPoriz_Pisemnost" w:val="25.2.2026"/>
    <w:docVar w:name="Datum_PostaDoruc_PisemnostOdpovedNa_Pisemnost" w:val="DD.MM.RRRR"/>
    <w:docVar w:name="DisplayName_CisloObalky_PostaOdes" w:val="ČÍSLO OBÁLKY"/>
    <w:docVar w:name="DisplayName_CJCol" w:val="&lt;TABLE&gt;&lt;TR&gt;&lt;TD&gt;Č.j.:&lt;/TD&gt;&lt;TD&gt;MZP/2026/320/325&lt;/TD&gt;&lt;/TR&gt;&lt;TR&gt;&lt;TD&gt;&lt;/TD&gt;&lt;TD&gt;&lt;/TD&gt;&lt;/TR&gt;&lt;/TABLE&gt;"/>
    <w:docVar w:name="DisplayName_PoziceMa_Pisemnost" w:val="Ing. Jiří Kozel"/>
    <w:docVar w:name="DisplayName_SlozkaStupenUtajeniCollection_Slozka_Pisemnost"/>
    <w:docVar w:name="DisplayName_SpisovyUzel_PoziceZodpo_Pisemnost" w:val="Odbor finančních a dobrovolných nástrojů"/>
    <w:docVar w:name="DisplayName_Spis_Pisemnost" w:val="Výzva č. 1/2026 FN na téma „FN Regenerace brownfieldů v Ústeckém a Karlovarském kraji OPST“"/>
    <w:docVar w:name="DisplayName_UserPoriz_Pisemnost" w:val="Ing. Jiří Kozel"/>
    <w:docVar w:name="DuvodZmeny_SlozkaStupenUtajeniCollection_Slozka_Pisemnost"/>
    <w:docVar w:name="EC_Pisemnost" w:val="ENV/2026/191598"/>
    <w:docVar w:name="Key_BarCode_Pisemnost" w:val="*B003375576*"/>
    <w:docVar w:name="Key_BarCode_PostaOdes" w:val="11101001011"/>
    <w:docVar w:name="KRukam" w:val="{KRukam}"/>
    <w:docVar w:name="NameAddress_Contact_SpisovyUzel_PoziceZodpo_Pisemnost" w:val="ADRESÁT SU..."/>
    <w:docVar w:name="NamePostalAddress_Contact_PostaOdes" w:val="POŠTOVNÍ ADRESA&#13;&#10;{PostalAddress_Contact_PostaOdes}"/>
    <w:docVar w:name="Odkaz" w:val="ODKAZ"/>
    <w:docVar w:name="Password_PisemnostTypZpristupneniInformaciZOSZ_Pisemnost" w:val="ZOSZ_Password"/>
    <w:docVar w:name="PocetListuDokumentu_Pisemnost" w:val="21"/>
    <w:docVar w:name="PocetListu_Pisemnost" w:val="21"/>
    <w:docVar w:name="PocetPriloh_Pisemnost" w:val="0"/>
    <w:docVar w:name="Podpis"/>
    <w:docVar w:name="PoleVlastnost"/>
    <w:docVar w:name="PostalAddress_Contact_SpisovyUzel_PoziceZodpo_Pisemnost" w:val="ADRESA SU..."/>
    <w:docVar w:name="QREC_Pisemnost" w:val="ENV/2026/191598"/>
    <w:docVar w:name="RC"/>
    <w:docVar w:name="SkartacniZnakLhuta_PisemnostZnak" w:val="S/10"/>
    <w:docVar w:name="SmlouvaCislo" w:val="ČÍSLO SMLOUVY"/>
    <w:docVar w:name="SZ_Spis_Pisemnost" w:val="ZN/MZP/2026/320/19"/>
    <w:docVar w:name="Termin_Pisemnost" w:val="DD.MM.RRRR"/>
    <w:docVar w:name="TEST" w:val="testovací pole"/>
    <w:docVar w:name="TypPrilohy_Pisemnost" w:val="TYP PŘÍLOHY"/>
    <w:docVar w:name="UserName_PisemnostTypZpristupneniInformaciZOSZ_Pisemnost" w:val="ZOSZ_UserName"/>
    <w:docVar w:name="Vec_Pisemnost" w:val="Informace pro ministra: Podpis výzvy č. 1/2026 FN na téma &quot;Finanční nástroj Regenerace brownfieldů v Ústeckém a Karlovarském kraji OPST&quot;"/>
    <w:docVar w:name="Zkratka_SpisovyUzel_PoziceZodpo_Pisemnost" w:val="320"/>
  </w:docVars>
  <m:mathPr>
    <m:mathFont m:val="Cambria Math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188107F"/>
  <w15:docId w15:val="{7A291D64-B195-460B-BAE9-2CCE4661F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egoe UI" w:eastAsia="Segoe UI" w:hAnsi="Segoe UI" w:cs="Segoe UI"/>
      <w:lang w:val="cs-CZ"/>
    </w:rPr>
  </w:style>
  <w:style w:type="paragraph" w:styleId="Heading1">
    <w:name w:val="heading 1"/>
    <w:aliases w:val="adpis 1,kapitola"/>
    <w:basedOn w:val="Normal"/>
    <w:next w:val="Normal"/>
    <w:link w:val="Nadpis1Char"/>
    <w:uiPriority w:val="99"/>
    <w:qFormat/>
    <w:rsid w:val="009C75C2"/>
    <w:pPr>
      <w:keepNext/>
      <w:widowControl/>
      <w:numPr>
        <w:numId w:val="1"/>
      </w:numPr>
      <w:autoSpaceDE/>
      <w:autoSpaceDN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Heading2">
    <w:name w:val="heading 2"/>
    <w:aliases w:val="Nadpis_2,adpis 2"/>
    <w:basedOn w:val="Normal"/>
    <w:next w:val="Normal"/>
    <w:link w:val="Nadpis2Char"/>
    <w:uiPriority w:val="99"/>
    <w:qFormat/>
    <w:rsid w:val="009C75C2"/>
    <w:pPr>
      <w:keepNext/>
      <w:widowControl/>
      <w:numPr>
        <w:ilvl w:val="1"/>
        <w:numId w:val="1"/>
      </w:numPr>
      <w:autoSpaceDE/>
      <w:autoSpaceDN/>
      <w:spacing w:before="240" w:after="60"/>
      <w:jc w:val="both"/>
      <w:outlineLvl w:val="1"/>
    </w:pPr>
    <w:rPr>
      <w:rFonts w:ascii="Helvetica" w:eastAsia="Times New Roman" w:hAnsi="Helvetica" w:cs="Helvetica"/>
      <w:b/>
      <w:bCs/>
      <w:i/>
      <w:iCs/>
      <w:sz w:val="28"/>
      <w:szCs w:val="28"/>
      <w:lang w:eastAsia="cs-CZ"/>
    </w:rPr>
  </w:style>
  <w:style w:type="paragraph" w:styleId="Heading3">
    <w:name w:val="heading 3"/>
    <w:aliases w:val="Podpodkapitola,adpis 3"/>
    <w:basedOn w:val="Normal"/>
    <w:next w:val="Normal"/>
    <w:link w:val="Nadpis3Char"/>
    <w:uiPriority w:val="99"/>
    <w:qFormat/>
    <w:rsid w:val="009C75C2"/>
    <w:pPr>
      <w:keepNext/>
      <w:widowControl/>
      <w:numPr>
        <w:ilvl w:val="2"/>
        <w:numId w:val="1"/>
      </w:numPr>
      <w:autoSpaceDE/>
      <w:autoSpaceDN/>
      <w:spacing w:before="240" w:after="60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Heading4">
    <w:name w:val="heading 4"/>
    <w:basedOn w:val="Normal"/>
    <w:next w:val="Normal"/>
    <w:link w:val="Nadpis4Char"/>
    <w:uiPriority w:val="99"/>
    <w:qFormat/>
    <w:rsid w:val="009C75C2"/>
    <w:pPr>
      <w:keepNext/>
      <w:widowControl/>
      <w:numPr>
        <w:ilvl w:val="3"/>
        <w:numId w:val="1"/>
      </w:numPr>
      <w:autoSpaceDE/>
      <w:autoSpaceDN/>
      <w:spacing w:before="240" w:after="60"/>
      <w:jc w:val="both"/>
      <w:outlineLvl w:val="3"/>
    </w:pPr>
    <w:rPr>
      <w:rFonts w:ascii="Arial" w:eastAsia="Times New Roman" w:hAnsi="Arial" w:cs="Arial"/>
      <w:b/>
      <w:bCs/>
      <w:i/>
      <w:iCs/>
      <w:sz w:val="26"/>
      <w:szCs w:val="2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31"/>
      <w:ind w:left="113"/>
    </w:pPr>
    <w:rPr>
      <w:rFonts w:ascii="Trebuchet MS" w:eastAsia="Trebuchet MS" w:hAnsi="Trebuchet MS" w:cs="Trebuchet MS"/>
      <w:sz w:val="81"/>
      <w:szCs w:val="81"/>
    </w:rPr>
  </w:style>
  <w:style w:type="paragraph" w:styleId="ListParagraph">
    <w:name w:val="List Paragraph"/>
    <w:aliases w:val="Conclusion de partie,Fiche List Paragraph,List Paragraph (Czech Tourism),Nad,Název grafu,Odrážky,Odstavec cíl se seznamem,Odstavec se seznamem1,Odstavec se seznamem5,Odstavec_muj,Seznam - odrážky,_Odstavec se seznamem,dd_odraz,nad 1"/>
    <w:basedOn w:val="Normal"/>
    <w:link w:val="OdstavecseseznamemChar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12"/>
      <w:ind w:left="80"/>
    </w:pPr>
  </w:style>
  <w:style w:type="character" w:customStyle="1" w:styleId="Nadpis1Char">
    <w:name w:val="Nadpis 1 Char"/>
    <w:aliases w:val="adpis 1 Char,kapitola Char"/>
    <w:basedOn w:val="DefaultParagraphFont"/>
    <w:link w:val="Heading1"/>
    <w:uiPriority w:val="99"/>
    <w:rsid w:val="009C75C2"/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customStyle="1" w:styleId="Nadpis2Char">
    <w:name w:val="Nadpis 2 Char"/>
    <w:aliases w:val="Nadpis_2 Char,adpis 2 Char"/>
    <w:basedOn w:val="DefaultParagraphFont"/>
    <w:link w:val="Heading2"/>
    <w:uiPriority w:val="99"/>
    <w:rsid w:val="009C75C2"/>
    <w:rPr>
      <w:rFonts w:ascii="Helvetica" w:eastAsia="Times New Roman" w:hAnsi="Helvetica" w:cs="Helvetica"/>
      <w:b/>
      <w:bCs/>
      <w:i/>
      <w:iCs/>
      <w:sz w:val="28"/>
      <w:szCs w:val="28"/>
      <w:lang w:val="cs-CZ" w:eastAsia="cs-CZ"/>
    </w:rPr>
  </w:style>
  <w:style w:type="character" w:customStyle="1" w:styleId="Nadpis3Char">
    <w:name w:val="Nadpis 3 Char"/>
    <w:aliases w:val="Podpodkapitola Char,adpis 3 Char"/>
    <w:basedOn w:val="DefaultParagraphFont"/>
    <w:link w:val="Heading3"/>
    <w:uiPriority w:val="99"/>
    <w:rsid w:val="009C75C2"/>
    <w:rPr>
      <w:rFonts w:ascii="Arial" w:eastAsia="Times New Roman" w:hAnsi="Arial" w:cs="Arial"/>
      <w:b/>
      <w:bCs/>
      <w:sz w:val="26"/>
      <w:szCs w:val="26"/>
      <w:lang w:val="cs-CZ" w:eastAsia="cs-CZ"/>
    </w:rPr>
  </w:style>
  <w:style w:type="character" w:customStyle="1" w:styleId="Nadpis4Char">
    <w:name w:val="Nadpis 4 Char"/>
    <w:basedOn w:val="DefaultParagraphFont"/>
    <w:link w:val="Heading4"/>
    <w:uiPriority w:val="99"/>
    <w:rsid w:val="009C75C2"/>
    <w:rPr>
      <w:rFonts w:ascii="Arial" w:eastAsia="Times New Roman" w:hAnsi="Arial" w:cs="Arial"/>
      <w:b/>
      <w:bCs/>
      <w:i/>
      <w:iCs/>
      <w:sz w:val="26"/>
      <w:szCs w:val="26"/>
      <w:lang w:val="cs-CZ" w:eastAsia="cs-CZ"/>
    </w:rPr>
  </w:style>
  <w:style w:type="character" w:customStyle="1" w:styleId="OdstavecseseznamemChar">
    <w:name w:val="Odstavec se seznamem Char"/>
    <w:aliases w:val="Conclusion de partie Char,Fiche List Paragraph Char,List Paragraph (Czech Tourism) Char,Nad Char,Název grafu Char,Odrážky Char,Odstavec cíl se seznamem Char,Odstavec se seznamem1 Char,Odstavec se seznamem5 Char,dd_odraz Char"/>
    <w:link w:val="ListParagraph"/>
    <w:uiPriority w:val="34"/>
    <w:qFormat/>
    <w:locked/>
    <w:rsid w:val="009C75C2"/>
    <w:rPr>
      <w:rFonts w:ascii="Segoe UI" w:eastAsia="Segoe UI" w:hAnsi="Segoe UI" w:cs="Segoe UI"/>
      <w:lang w:val="cs-CZ"/>
    </w:rPr>
  </w:style>
  <w:style w:type="paragraph" w:customStyle="1" w:styleId="HEADLINE">
    <w:name w:val="HEADLINE"/>
    <w:link w:val="HEADLINEChar"/>
    <w:qFormat/>
    <w:rsid w:val="00191E17"/>
    <w:pPr>
      <w:widowControl/>
      <w:pBdr>
        <w:top w:val="single" w:sz="8" w:space="1" w:color="00529F"/>
        <w:bottom w:val="single" w:sz="8" w:space="1" w:color="00529F"/>
      </w:pBdr>
      <w:autoSpaceDE/>
      <w:autoSpaceDN/>
      <w:spacing w:before="2040" w:after="200" w:line="276" w:lineRule="auto"/>
    </w:pPr>
    <w:rPr>
      <w:rFonts w:ascii="Segoe UI" w:eastAsia="Calibri" w:hAnsi="Segoe UI" w:cs="Times New Roman"/>
      <w:caps/>
      <w:noProof/>
      <w:color w:val="00529F"/>
      <w:sz w:val="56"/>
      <w:szCs w:val="56"/>
      <w:lang w:val="cs-CZ"/>
    </w:rPr>
  </w:style>
  <w:style w:type="character" w:customStyle="1" w:styleId="HEADLINEChar">
    <w:name w:val="HEADLINE Char"/>
    <w:link w:val="HEADLINE"/>
    <w:rsid w:val="00191E17"/>
    <w:rPr>
      <w:rFonts w:ascii="Segoe UI" w:eastAsia="Calibri" w:hAnsi="Segoe UI" w:cs="Times New Roman"/>
      <w:caps/>
      <w:noProof/>
      <w:color w:val="00529F"/>
      <w:sz w:val="56"/>
      <w:szCs w:val="56"/>
      <w:lang w:val="cs-CZ"/>
    </w:rPr>
  </w:style>
  <w:style w:type="paragraph" w:customStyle="1" w:styleId="TITULEKVZVY">
    <w:name w:val="TITULEK VÝZVY"/>
    <w:basedOn w:val="Normal"/>
    <w:link w:val="TITULEKVZVYChar"/>
    <w:qFormat/>
    <w:rsid w:val="00191E17"/>
    <w:pPr>
      <w:widowControl/>
      <w:autoSpaceDE/>
      <w:autoSpaceDN/>
      <w:spacing w:after="360" w:line="264" w:lineRule="auto"/>
      <w:contextualSpacing/>
    </w:pPr>
    <w:rPr>
      <w:rFonts w:eastAsia="Calibri" w:cs="Times New Roman"/>
      <w:caps/>
      <w:color w:val="00529F"/>
      <w:sz w:val="36"/>
      <w:szCs w:val="28"/>
    </w:rPr>
  </w:style>
  <w:style w:type="character" w:customStyle="1" w:styleId="TITULEKVZVYChar">
    <w:name w:val="TITULEK VÝZVY Char"/>
    <w:link w:val="TITULEKVZVY"/>
    <w:rsid w:val="00191E17"/>
    <w:rPr>
      <w:rFonts w:ascii="Segoe UI" w:eastAsia="Calibri" w:hAnsi="Segoe UI" w:cs="Times New Roman"/>
      <w:caps/>
      <w:color w:val="00529F"/>
      <w:sz w:val="36"/>
      <w:szCs w:val="28"/>
      <w:lang w:val="cs-CZ"/>
    </w:rPr>
  </w:style>
  <w:style w:type="paragraph" w:customStyle="1" w:styleId="OMTma">
    <w:name w:val="OM Téma"/>
    <w:basedOn w:val="Normal"/>
    <w:link w:val="OMTmaChar"/>
    <w:qFormat/>
    <w:rsid w:val="00191E17"/>
    <w:pPr>
      <w:widowControl/>
      <w:autoSpaceDE/>
      <w:autoSpaceDN/>
      <w:spacing w:line="264" w:lineRule="auto"/>
    </w:pPr>
    <w:rPr>
      <w:rFonts w:ascii="Cambria" w:hAnsi="Cambria" w:eastAsiaTheme="minorHAnsi" w:cstheme="minorHAnsi"/>
      <w:b/>
      <w:bCs/>
      <w:color w:val="0070C0"/>
      <w:sz w:val="26"/>
      <w:szCs w:val="26"/>
    </w:rPr>
  </w:style>
  <w:style w:type="character" w:customStyle="1" w:styleId="OMTmaChar">
    <w:name w:val="OM Téma Char"/>
    <w:basedOn w:val="DefaultParagraphFont"/>
    <w:link w:val="OMTma"/>
    <w:rsid w:val="00191E17"/>
    <w:rPr>
      <w:rFonts w:ascii="Cambria" w:hAnsi="Cambria" w:cstheme="minorHAnsi"/>
      <w:b/>
      <w:bCs/>
      <w:color w:val="0070C0"/>
      <w:sz w:val="26"/>
      <w:szCs w:val="26"/>
      <w:lang w:val="cs-CZ"/>
    </w:rPr>
  </w:style>
  <w:style w:type="paragraph" w:styleId="Revision">
    <w:name w:val="Revision"/>
    <w:hidden/>
    <w:uiPriority w:val="99"/>
    <w:semiHidden/>
    <w:rsid w:val="00492F18"/>
    <w:pPr>
      <w:widowControl/>
      <w:autoSpaceDE/>
      <w:autoSpaceDN/>
    </w:pPr>
    <w:rPr>
      <w:rFonts w:ascii="Segoe UI" w:eastAsia="Segoe UI" w:hAnsi="Segoe UI" w:cs="Segoe UI"/>
      <w:lang w:val="cs-CZ"/>
    </w:rPr>
  </w:style>
  <w:style w:type="character" w:styleId="Hyperlink">
    <w:name w:val="Hyperlink"/>
    <w:basedOn w:val="DefaultParagraphFont"/>
    <w:uiPriority w:val="99"/>
    <w:unhideWhenUsed/>
    <w:rsid w:val="007C5AC0"/>
    <w:rPr>
      <w:color w:val="0000FF" w:themeColor="hyperlink"/>
      <w:u w:val="single"/>
    </w:rPr>
  </w:style>
  <w:style w:type="paragraph" w:styleId="FootnoteText">
    <w:name w:val="footnote text"/>
    <w:aliases w:val="Boston 10,Char,Char Char Char1,Char1,Font: Geneva 9,Footnote,Fußnotentextf,Geneva 9,Podrozdzia3,Podrozdział,Schriftart: 10 pt,Schriftart: 8 pt,Schriftart: 9 pt,Text pozn. pod čarou1,Text poznámky pod čiarou 007,f,o,pozn. pod čarou"/>
    <w:basedOn w:val="Normal"/>
    <w:link w:val="TextpoznpodarouChar"/>
    <w:uiPriority w:val="99"/>
    <w:qFormat/>
    <w:rsid w:val="007C5AC0"/>
    <w:pPr>
      <w:widowControl/>
      <w:autoSpaceDE/>
      <w:autoSpaceDN/>
      <w:spacing w:line="312" w:lineRule="auto"/>
      <w:jc w:val="both"/>
    </w:pPr>
    <w:rPr>
      <w:rFonts w:ascii="Arial" w:eastAsia="Times New Roman" w:hAnsi="Arial" w:cs="Times New Roman"/>
      <w:sz w:val="18"/>
    </w:rPr>
  </w:style>
  <w:style w:type="character" w:customStyle="1" w:styleId="TextpoznpodarouChar">
    <w:name w:val="Text pozn. pod čarou Char"/>
    <w:aliases w:val="Boston 10 Char,Char Char,Char Char Char1 Char,Char1 Char,Font: Geneva 9 Char,Footnote Char,Fußnotentextf Char,Geneva 9 Char,Podrozdzia3 Char,Podrozdział Char,Schriftart: 10 pt Char,Schriftart: 8 pt Char,Schriftart: 9 pt Char"/>
    <w:basedOn w:val="DefaultParagraphFont"/>
    <w:link w:val="FootnoteText"/>
    <w:uiPriority w:val="99"/>
    <w:qFormat/>
    <w:rsid w:val="007C5AC0"/>
    <w:rPr>
      <w:rFonts w:ascii="Arial" w:eastAsia="Times New Roman" w:hAnsi="Arial" w:cs="Times New Roman"/>
      <w:sz w:val="18"/>
      <w:lang w:val="cs-CZ"/>
    </w:rPr>
  </w:style>
  <w:style w:type="character" w:styleId="FootnoteReference">
    <w:name w:val="footnote reference"/>
    <w:aliases w:val="12 b.,Appel note de bas de p,Appel note de bas de page,BVI fnr,Char Car Car Car Car,Footnote Reference Superscript,Footnote symbol,Légende,Légende.Char Car Car Car Car,PGI Fußnote Ziffer,Voetnootverwijzing,Zúžené o ..."/>
    <w:uiPriority w:val="99"/>
    <w:rsid w:val="007C5AC0"/>
    <w:rPr>
      <w:rFonts w:cs="Times New Roman"/>
      <w:vertAlign w:val="superscript"/>
    </w:rPr>
  </w:style>
  <w:style w:type="paragraph" w:customStyle="1" w:styleId="Default">
    <w:name w:val="Default"/>
    <w:qFormat/>
    <w:rsid w:val="007C5AC0"/>
    <w:pPr>
      <w:widowControl/>
      <w:autoSpaceDE/>
      <w:autoSpaceDN/>
    </w:pPr>
    <w:rPr>
      <w:rFonts w:ascii="Arial" w:hAnsi="Arial" w:cs="Arial"/>
      <w:color w:val="000000"/>
      <w:sz w:val="24"/>
      <w:szCs w:val="24"/>
      <w:lang w:val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80480A"/>
    <w:rPr>
      <w:sz w:val="16"/>
      <w:szCs w:val="16"/>
    </w:rPr>
  </w:style>
  <w:style w:type="paragraph" w:styleId="CommentText">
    <w:name w:val="annotation text"/>
    <w:basedOn w:val="Normal"/>
    <w:link w:val="TextkomenteChar"/>
    <w:uiPriority w:val="99"/>
    <w:unhideWhenUsed/>
    <w:rsid w:val="0080480A"/>
    <w:rPr>
      <w:sz w:val="20"/>
      <w:szCs w:val="20"/>
    </w:rPr>
  </w:style>
  <w:style w:type="character" w:customStyle="1" w:styleId="TextkomenteChar">
    <w:name w:val="Text komentáře Char"/>
    <w:basedOn w:val="DefaultParagraphFont"/>
    <w:link w:val="CommentText"/>
    <w:uiPriority w:val="99"/>
    <w:rsid w:val="0080480A"/>
    <w:rPr>
      <w:rFonts w:ascii="Segoe UI" w:eastAsia="Segoe UI" w:hAnsi="Segoe UI" w:cs="Segoe UI"/>
      <w:sz w:val="20"/>
      <w:szCs w:val="20"/>
      <w:lang w:val="cs-CZ"/>
    </w:rPr>
  </w:style>
  <w:style w:type="paragraph" w:styleId="CommentSubject">
    <w:name w:val="annotation subject"/>
    <w:basedOn w:val="CommentText"/>
    <w:next w:val="CommentText"/>
    <w:link w:val="PedmtkomenteChar"/>
    <w:uiPriority w:val="99"/>
    <w:semiHidden/>
    <w:unhideWhenUsed/>
    <w:rsid w:val="0080480A"/>
    <w:rPr>
      <w:b/>
      <w:bCs/>
    </w:rPr>
  </w:style>
  <w:style w:type="character" w:customStyle="1" w:styleId="PedmtkomenteChar">
    <w:name w:val="Předmět komentáře Char"/>
    <w:basedOn w:val="TextkomenteChar"/>
    <w:link w:val="CommentSubject"/>
    <w:uiPriority w:val="99"/>
    <w:semiHidden/>
    <w:rsid w:val="0080480A"/>
    <w:rPr>
      <w:rFonts w:ascii="Segoe UI" w:eastAsia="Segoe UI" w:hAnsi="Segoe UI" w:cs="Segoe UI"/>
      <w:b/>
      <w:bCs/>
      <w:sz w:val="20"/>
      <w:szCs w:val="20"/>
      <w:lang w:val="cs-CZ"/>
    </w:rPr>
  </w:style>
  <w:style w:type="paragraph" w:customStyle="1" w:styleId="pf0">
    <w:name w:val="pf0"/>
    <w:basedOn w:val="Normal"/>
    <w:rsid w:val="00854D6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f01">
    <w:name w:val="cf01"/>
    <w:basedOn w:val="DefaultParagraphFont"/>
    <w:rsid w:val="00854D69"/>
    <w:rPr>
      <w:rFonts w:ascii="Segoe UI" w:hAnsi="Segoe UI" w:cs="Segoe UI" w:hint="default"/>
      <w:sz w:val="18"/>
      <w:szCs w:val="18"/>
    </w:rPr>
  </w:style>
  <w:style w:type="paragraph" w:styleId="Header">
    <w:name w:val="header"/>
    <w:basedOn w:val="Normal"/>
    <w:link w:val="ZhlavChar"/>
    <w:uiPriority w:val="99"/>
    <w:unhideWhenUsed/>
    <w:rsid w:val="0072749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DefaultParagraphFont"/>
    <w:link w:val="Header"/>
    <w:uiPriority w:val="99"/>
    <w:rsid w:val="00727499"/>
    <w:rPr>
      <w:rFonts w:ascii="Segoe UI" w:eastAsia="Segoe UI" w:hAnsi="Segoe UI" w:cs="Segoe UI"/>
      <w:lang w:val="cs-CZ"/>
    </w:rPr>
  </w:style>
  <w:style w:type="paragraph" w:styleId="Footer">
    <w:name w:val="footer"/>
    <w:basedOn w:val="Normal"/>
    <w:link w:val="ZpatChar"/>
    <w:uiPriority w:val="99"/>
    <w:unhideWhenUsed/>
    <w:rsid w:val="007274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DefaultParagraphFont"/>
    <w:link w:val="Footer"/>
    <w:uiPriority w:val="99"/>
    <w:rsid w:val="00727499"/>
    <w:rPr>
      <w:rFonts w:ascii="Segoe UI" w:eastAsia="Segoe UI" w:hAnsi="Segoe UI" w:cs="Segoe UI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hyperlink" Target="http://www.opst.cz" TargetMode="Externa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8E1C8-E988-454F-A83B-D3D24E08E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1454</Words>
  <Characters>8584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SFZP</Company>
  <LinksUpToDate>false</LinksUpToDate>
  <CharactersWithSpaces>10018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Prokop Tomáš</dc:creator>
  <cp:lastModifiedBy>Jiří Kozel</cp:lastModifiedBy>
  <cp:revision>6</cp:revision>
  <dcterms:created xsi:type="dcterms:W3CDTF">2026-01-16T12:29:00Z</dcterms:created>
  <dcterms:modified xsi:type="dcterms:W3CDTF">2026-02-25T09:10:00Z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nonymizaceNavrh">
    <vt:lpwstr/>
  </property>
  <property fmtid="{D5CDD505-2E9C-101B-9397-08002B2CF9AE}" pid="3" name="CelyZnak_PisemnostZnak">
    <vt:lpwstr>200.23.2</vt:lpwstr>
  </property>
  <property fmtid="{D5CDD505-2E9C-101B-9397-08002B2CF9AE}" pid="4" name="Cislo_PostaOdesPisemnostDokumentVerze_PostaOdesPisemnost">
    <vt:lpwstr>VÝTISK Č. ...</vt:lpwstr>
  </property>
  <property fmtid="{D5CDD505-2E9C-101B-9397-08002B2CF9AE}" pid="5" name="CJ">
    <vt:lpwstr>MZP/2026/320/325</vt:lpwstr>
  </property>
  <property fmtid="{D5CDD505-2E9C-101B-9397-08002B2CF9AE}" pid="6" name="CJ_PostaDoruc_PisemnostOdpovedNa_Pisemnost">
    <vt:lpwstr>XXX-XXX-XXX</vt:lpwstr>
  </property>
  <property fmtid="{D5CDD505-2E9C-101B-9397-08002B2CF9AE}" pid="7" name="CJ_Spis_Pisemnost">
    <vt:lpwstr>MZP/2026/320/266</vt:lpwstr>
  </property>
  <property fmtid="{D5CDD505-2E9C-101B-9397-08002B2CF9AE}" pid="8" name="Contact_PostaOdes">
    <vt:lpwstr>ADRESÁT...
ADRESÁT...</vt:lpwstr>
  </property>
  <property fmtid="{D5CDD505-2E9C-101B-9397-08002B2CF9AE}" pid="9" name="Contact_PostaOdes_All">
    <vt:lpwstr>ROZDĚLOVNÍK...</vt:lpwstr>
  </property>
  <property fmtid="{D5CDD505-2E9C-101B-9397-08002B2CF9AE}" pid="10" name="Created">
    <vt:filetime>2022-07-11T00:00:00Z</vt:filetime>
  </property>
  <property fmtid="{D5CDD505-2E9C-101B-9397-08002B2CF9AE}" pid="11" name="Creator">
    <vt:lpwstr>Adobe InDesign CS6 (Windows)</vt:lpwstr>
  </property>
  <property fmtid="{D5CDD505-2E9C-101B-9397-08002B2CF9AE}" pid="12" name="DatumNaroz">
    <vt:lpwstr/>
  </property>
  <property fmtid="{D5CDD505-2E9C-101B-9397-08002B2CF9AE}" pid="13" name="DatumPlatnosti_PisemnostTypZpristupneniInformaciZOSZ_Pisemnost">
    <vt:lpwstr>ZOSZ_DatumPlatnosti</vt:lpwstr>
  </property>
  <property fmtid="{D5CDD505-2E9C-101B-9397-08002B2CF9AE}" pid="14" name="DatumPoriz_Pisemnost">
    <vt:lpwstr>25.2.2026</vt:lpwstr>
  </property>
  <property fmtid="{D5CDD505-2E9C-101B-9397-08002B2CF9AE}" pid="15" name="Datum_PostaDoruc_PisemnostOdpovedNa_Pisemnost">
    <vt:lpwstr>DD.MM.RRRR</vt:lpwstr>
  </property>
  <property fmtid="{D5CDD505-2E9C-101B-9397-08002B2CF9AE}" pid="16" name="DisplayName_CisloObalky_PostaOdes">
    <vt:lpwstr>ČÍSLO OBÁLKY</vt:lpwstr>
  </property>
  <property fmtid="{D5CDD505-2E9C-101B-9397-08002B2CF9AE}" pid="17" name="DisplayName_CJCol">
    <vt:lpwstr>&lt;TABLE&gt;&lt;TR&gt;&lt;TD&gt;Č.j.:&lt;/TD&gt;&lt;TD&gt;MZP/2026/320/325&lt;/TD&gt;&lt;/TR&gt;&lt;TR&gt;&lt;TD&gt;&lt;/TD&gt;&lt;TD&gt;&lt;/TD&gt;&lt;/TR&gt;&lt;/TABLE&gt;</vt:lpwstr>
  </property>
  <property fmtid="{D5CDD505-2E9C-101B-9397-08002B2CF9AE}" pid="18" name="DisplayName_PoziceMa_Pisemnost">
    <vt:lpwstr>Ing. Jiří Kozel</vt:lpwstr>
  </property>
  <property fmtid="{D5CDD505-2E9C-101B-9397-08002B2CF9AE}" pid="19" name="DisplayName_SlozkaStupenUtajeniCollection_Slozka_Pisemnost">
    <vt:lpwstr/>
  </property>
  <property fmtid="{D5CDD505-2E9C-101B-9397-08002B2CF9AE}" pid="20" name="DisplayName_SpisovyUzel_PoziceZodpo_Pisemnost">
    <vt:lpwstr>Odbor finančních a dobrovolných nástrojů</vt:lpwstr>
  </property>
  <property fmtid="{D5CDD505-2E9C-101B-9397-08002B2CF9AE}" pid="21" name="DisplayName_Spis_Pisemnost">
    <vt:lpwstr>Výzva č. 1/2026 FN na téma „FN Regenerace brownfieldů v Ústeckém a Karlovarském kraji OPST“</vt:lpwstr>
  </property>
  <property fmtid="{D5CDD505-2E9C-101B-9397-08002B2CF9AE}" pid="22" name="DisplayName_UserPoriz_Pisemnost">
    <vt:lpwstr>Ing. Jiří Kozel</vt:lpwstr>
  </property>
  <property fmtid="{D5CDD505-2E9C-101B-9397-08002B2CF9AE}" pid="23" name="DuvodZmeny_SlozkaStupenUtajeniCollection_Slozka_Pisemnost">
    <vt:lpwstr/>
  </property>
  <property fmtid="{D5CDD505-2E9C-101B-9397-08002B2CF9AE}" pid="24" name="EC_Pisemnost">
    <vt:lpwstr>ENV/2026/191598</vt:lpwstr>
  </property>
  <property fmtid="{D5CDD505-2E9C-101B-9397-08002B2CF9AE}" pid="25" name="Key_BarCode_Pisemnost">
    <vt:lpwstr>*B003375576*</vt:lpwstr>
  </property>
  <property fmtid="{D5CDD505-2E9C-101B-9397-08002B2CF9AE}" pid="26" name="Key_BarCode_PostaOdes">
    <vt:lpwstr>11101001011</vt:lpwstr>
  </property>
  <property fmtid="{D5CDD505-2E9C-101B-9397-08002B2CF9AE}" pid="27" name="KRukam">
    <vt:lpwstr>{KRukam}</vt:lpwstr>
  </property>
  <property fmtid="{D5CDD505-2E9C-101B-9397-08002B2CF9AE}" pid="28" name="LastSaved">
    <vt:filetime>2022-07-29T00:00:00Z</vt:filetime>
  </property>
  <property fmtid="{D5CDD505-2E9C-101B-9397-08002B2CF9AE}" pid="29" name="NameAddress_Contact_SpisovyUzel_PoziceZodpo_Pisemnost">
    <vt:lpwstr>ADRESÁT SU...</vt:lpwstr>
  </property>
  <property fmtid="{D5CDD505-2E9C-101B-9397-08002B2CF9AE}" pid="30" name="NamePostalAddress_Contact_PostaOdes">
    <vt:lpwstr>POŠTOVNÍ ADRESA
{PostalAddress_Contact_PostaOdes}</vt:lpwstr>
  </property>
  <property fmtid="{D5CDD505-2E9C-101B-9397-08002B2CF9AE}" pid="31" name="Odkaz">
    <vt:lpwstr>ODKAZ</vt:lpwstr>
  </property>
  <property fmtid="{D5CDD505-2E9C-101B-9397-08002B2CF9AE}" pid="32" name="Password_PisemnostTypZpristupneniInformaciZOSZ_Pisemnost">
    <vt:lpwstr>ZOSZ_Password</vt:lpwstr>
  </property>
  <property fmtid="{D5CDD505-2E9C-101B-9397-08002B2CF9AE}" pid="33" name="PocetListuDokumentu_Pisemnost">
    <vt:lpwstr>21</vt:lpwstr>
  </property>
  <property fmtid="{D5CDD505-2E9C-101B-9397-08002B2CF9AE}" pid="34" name="PocetListu_Pisemnost">
    <vt:lpwstr>21</vt:lpwstr>
  </property>
  <property fmtid="{D5CDD505-2E9C-101B-9397-08002B2CF9AE}" pid="35" name="PocetPriloh_Pisemnost">
    <vt:lpwstr>0</vt:lpwstr>
  </property>
  <property fmtid="{D5CDD505-2E9C-101B-9397-08002B2CF9AE}" pid="36" name="Podpis">
    <vt:lpwstr/>
  </property>
  <property fmtid="{D5CDD505-2E9C-101B-9397-08002B2CF9AE}" pid="37" name="PoleVlastnost">
    <vt:lpwstr/>
  </property>
  <property fmtid="{D5CDD505-2E9C-101B-9397-08002B2CF9AE}" pid="38" name="PostalAddress_Contact_SpisovyUzel_PoziceZodpo_Pisemnost">
    <vt:lpwstr>ADRESA SU...</vt:lpwstr>
  </property>
  <property fmtid="{D5CDD505-2E9C-101B-9397-08002B2CF9AE}" pid="39" name="Producer">
    <vt:lpwstr>Adobe PDF Library 10.0.1</vt:lpwstr>
  </property>
  <property fmtid="{D5CDD505-2E9C-101B-9397-08002B2CF9AE}" pid="40" name="QREC_Pisemnost">
    <vt:lpwstr>ENV/2026/191598</vt:lpwstr>
  </property>
  <property fmtid="{D5CDD505-2E9C-101B-9397-08002B2CF9AE}" pid="41" name="RC">
    <vt:lpwstr/>
  </property>
  <property fmtid="{D5CDD505-2E9C-101B-9397-08002B2CF9AE}" pid="42" name="SkartacniZnakLhuta_PisemnostZnak">
    <vt:lpwstr>S/10</vt:lpwstr>
  </property>
  <property fmtid="{D5CDD505-2E9C-101B-9397-08002B2CF9AE}" pid="43" name="SmlouvaCislo">
    <vt:lpwstr>ČÍSLO SMLOUVY</vt:lpwstr>
  </property>
  <property fmtid="{D5CDD505-2E9C-101B-9397-08002B2CF9AE}" pid="44" name="SZ_Spis_Pisemnost">
    <vt:lpwstr>ZN/MZP/2026/320/19</vt:lpwstr>
  </property>
  <property fmtid="{D5CDD505-2E9C-101B-9397-08002B2CF9AE}" pid="45" name="Termin_Pisemnost">
    <vt:lpwstr>DD.MM.RRRR</vt:lpwstr>
  </property>
  <property fmtid="{D5CDD505-2E9C-101B-9397-08002B2CF9AE}" pid="46" name="TEST">
    <vt:lpwstr>testovací pole</vt:lpwstr>
  </property>
  <property fmtid="{D5CDD505-2E9C-101B-9397-08002B2CF9AE}" pid="47" name="TypPrilohy_Pisemnost">
    <vt:lpwstr>TYP PŘÍLOHY</vt:lpwstr>
  </property>
  <property fmtid="{D5CDD505-2E9C-101B-9397-08002B2CF9AE}" pid="48" name="UserName_PisemnostTypZpristupneniInformaciZOSZ_Pisemnost">
    <vt:lpwstr>ZOSZ_UserName</vt:lpwstr>
  </property>
  <property fmtid="{D5CDD505-2E9C-101B-9397-08002B2CF9AE}" pid="49" name="Vec_Pisemnost">
    <vt:lpwstr>Informace pro ministra: Podpis výzvy č. 1/2026 FN na téma "Finanční nástroj Regenerace brownfieldů v Ústeckém a Karlovarském kraji OPST"</vt:lpwstr>
  </property>
  <property fmtid="{D5CDD505-2E9C-101B-9397-08002B2CF9AE}" pid="50" name="Zkratka_SpisovyUzel_PoziceZodpo_Pisemnost">
    <vt:lpwstr>320</vt:lpwstr>
  </property>
</Properties>
</file>